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75C1" w14:textId="77777777" w:rsidR="00B81AEE" w:rsidRPr="00F743C7" w:rsidRDefault="00B81AEE" w:rsidP="00B81AEE">
      <w:pPr>
        <w:tabs>
          <w:tab w:val="left" w:pos="567"/>
        </w:tabs>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ΑΝΩΤΑΤΟ ΔΙΚΑΣΤΗΡΙΟ ΚΥΠΡΟΥ</w:t>
      </w:r>
    </w:p>
    <w:p w14:paraId="03A66501" w14:textId="77777777" w:rsidR="00B81AEE" w:rsidRPr="00F743C7" w:rsidRDefault="00B81AEE" w:rsidP="00B81AEE">
      <w:pPr>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ΔΕΥΤΕΡΟΒΑΘΜΙΑ ΔΙΚΑΙΟΔΟΣΙΑ</w:t>
      </w:r>
    </w:p>
    <w:p w14:paraId="217D7C74" w14:textId="77777777" w:rsidR="00B81AEE" w:rsidRPr="00F743C7" w:rsidRDefault="00B81AEE" w:rsidP="00B81AEE">
      <w:pPr>
        <w:spacing w:line="276" w:lineRule="auto"/>
        <w:jc w:val="right"/>
        <w:rPr>
          <w:rFonts w:ascii="Bookman Old Style" w:hAnsi="Bookman Old Style" w:cs="Times New Roman"/>
          <w:sz w:val="28"/>
          <w:szCs w:val="28"/>
          <w:lang w:val="el-GR"/>
        </w:rPr>
      </w:pP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p>
    <w:p w14:paraId="661C449B" w14:textId="285EC73E" w:rsidR="00B81AEE" w:rsidRPr="00F743C7" w:rsidRDefault="00B81AEE" w:rsidP="00B81AEE">
      <w:pPr>
        <w:spacing w:line="276" w:lineRule="auto"/>
        <w:jc w:val="right"/>
        <w:rPr>
          <w:rFonts w:ascii="Bookman Old Style" w:hAnsi="Bookman Old Style" w:cs="Times New Roman"/>
          <w:i/>
          <w:sz w:val="28"/>
          <w:szCs w:val="28"/>
          <w:lang w:val="el-GR"/>
        </w:rPr>
      </w:pPr>
      <w:r w:rsidRPr="00F743C7">
        <w:rPr>
          <w:rFonts w:ascii="Bookman Old Style" w:hAnsi="Bookman Old Style" w:cs="Times New Roman"/>
          <w:sz w:val="28"/>
          <w:szCs w:val="28"/>
          <w:lang w:val="el-GR"/>
        </w:rPr>
        <w:t>(</w:t>
      </w:r>
      <w:r w:rsidRPr="00F743C7">
        <w:rPr>
          <w:rFonts w:ascii="Bookman Old Style" w:hAnsi="Bookman Old Style" w:cs="Times New Roman"/>
          <w:i/>
          <w:sz w:val="28"/>
          <w:szCs w:val="28"/>
          <w:lang w:val="el-GR"/>
        </w:rPr>
        <w:t xml:space="preserve">Πολιτική Έφεση </w:t>
      </w:r>
      <w:proofErr w:type="spellStart"/>
      <w:r w:rsidRPr="00F743C7">
        <w:rPr>
          <w:rFonts w:ascii="Bookman Old Style" w:hAnsi="Bookman Old Style" w:cs="Times New Roman"/>
          <w:i/>
          <w:sz w:val="28"/>
          <w:szCs w:val="28"/>
          <w:lang w:val="el-GR"/>
        </w:rPr>
        <w:t>Αρ</w:t>
      </w:r>
      <w:proofErr w:type="spellEnd"/>
      <w:r w:rsidRPr="00F743C7">
        <w:rPr>
          <w:rFonts w:ascii="Bookman Old Style" w:hAnsi="Bookman Old Style" w:cs="Times New Roman"/>
          <w:i/>
          <w:sz w:val="28"/>
          <w:szCs w:val="28"/>
          <w:lang w:val="el-GR"/>
        </w:rPr>
        <w:t>.</w:t>
      </w:r>
      <w:r w:rsidRPr="004B2370">
        <w:rPr>
          <w:rFonts w:ascii="Bookman Old Style" w:hAnsi="Bookman Old Style" w:cs="Times New Roman"/>
          <w:i/>
          <w:sz w:val="28"/>
          <w:szCs w:val="28"/>
          <w:lang w:val="el-GR"/>
        </w:rPr>
        <w:t xml:space="preserve"> </w:t>
      </w:r>
      <w:r w:rsidRPr="002F0575">
        <w:rPr>
          <w:rFonts w:ascii="Bookman Old Style" w:hAnsi="Bookman Old Style" w:cs="Times New Roman"/>
          <w:i/>
          <w:sz w:val="28"/>
          <w:szCs w:val="28"/>
          <w:lang w:val="el-GR"/>
        </w:rPr>
        <w:t>116</w:t>
      </w:r>
      <w:r>
        <w:rPr>
          <w:rFonts w:ascii="Bookman Old Style" w:hAnsi="Bookman Old Style" w:cs="Times New Roman"/>
          <w:i/>
          <w:sz w:val="28"/>
          <w:szCs w:val="28"/>
          <w:lang w:val="el-GR"/>
        </w:rPr>
        <w:t>/</w:t>
      </w:r>
      <w:r w:rsidRPr="00F743C7">
        <w:rPr>
          <w:rFonts w:ascii="Bookman Old Style" w:hAnsi="Bookman Old Style" w:cs="Times New Roman"/>
          <w:i/>
          <w:sz w:val="28"/>
          <w:szCs w:val="28"/>
          <w:lang w:val="el-GR"/>
        </w:rPr>
        <w:t>201</w:t>
      </w:r>
      <w:r w:rsidRPr="004B2370">
        <w:rPr>
          <w:rFonts w:ascii="Bookman Old Style" w:hAnsi="Bookman Old Style" w:cs="Times New Roman"/>
          <w:i/>
          <w:sz w:val="28"/>
          <w:szCs w:val="28"/>
          <w:lang w:val="el-GR"/>
        </w:rPr>
        <w:t>5</w:t>
      </w:r>
      <w:r w:rsidRPr="00F743C7">
        <w:rPr>
          <w:rFonts w:ascii="Bookman Old Style" w:hAnsi="Bookman Old Style" w:cs="Times New Roman"/>
          <w:iCs/>
          <w:sz w:val="28"/>
          <w:szCs w:val="28"/>
          <w:lang w:val="el-GR"/>
        </w:rPr>
        <w:t>)</w:t>
      </w:r>
    </w:p>
    <w:p w14:paraId="3FDA58B5" w14:textId="77777777" w:rsidR="006D26FE" w:rsidRPr="00F743C7" w:rsidRDefault="006D26FE" w:rsidP="00115AC7">
      <w:pPr>
        <w:rPr>
          <w:rFonts w:ascii="Bookman Old Style" w:hAnsi="Bookman Old Style" w:cs="Times New Roman"/>
          <w:sz w:val="28"/>
          <w:szCs w:val="28"/>
          <w:lang w:val="el-GR"/>
        </w:rPr>
      </w:pPr>
    </w:p>
    <w:p w14:paraId="1C11C2DF" w14:textId="18E6F4B1" w:rsidR="00B81AEE" w:rsidRPr="00F743C7" w:rsidRDefault="00F14B66" w:rsidP="00B81AEE">
      <w:pPr>
        <w:jc w:val="center"/>
        <w:rPr>
          <w:rFonts w:ascii="Bookman Old Style" w:hAnsi="Bookman Old Style" w:cs="Times New Roman"/>
          <w:sz w:val="28"/>
          <w:szCs w:val="28"/>
          <w:lang w:val="el-GR"/>
        </w:rPr>
      </w:pPr>
      <w:r>
        <w:rPr>
          <w:rFonts w:ascii="Bookman Old Style" w:hAnsi="Bookman Old Style" w:cs="Times New Roman"/>
          <w:sz w:val="28"/>
          <w:szCs w:val="28"/>
          <w:lang w:val="el-GR"/>
        </w:rPr>
        <w:t xml:space="preserve">31 </w:t>
      </w:r>
      <w:r w:rsidR="00B81AEE">
        <w:rPr>
          <w:rFonts w:ascii="Bookman Old Style" w:hAnsi="Bookman Old Style" w:cs="Times New Roman"/>
          <w:sz w:val="28"/>
          <w:szCs w:val="28"/>
          <w:lang w:val="el-GR"/>
        </w:rPr>
        <w:t>Ιανουαρίου</w:t>
      </w:r>
      <w:r w:rsidR="00B81AEE" w:rsidRPr="00F743C7">
        <w:rPr>
          <w:rFonts w:ascii="Bookman Old Style" w:hAnsi="Bookman Old Style" w:cs="Times New Roman"/>
          <w:sz w:val="28"/>
          <w:szCs w:val="28"/>
          <w:lang w:val="el-GR"/>
        </w:rPr>
        <w:t>, 202</w:t>
      </w:r>
      <w:r w:rsidR="00B81AEE">
        <w:rPr>
          <w:rFonts w:ascii="Bookman Old Style" w:hAnsi="Bookman Old Style" w:cs="Times New Roman"/>
          <w:sz w:val="28"/>
          <w:szCs w:val="28"/>
          <w:lang w:val="el-GR"/>
        </w:rPr>
        <w:t>4</w:t>
      </w:r>
    </w:p>
    <w:p w14:paraId="706DA260" w14:textId="77777777" w:rsidR="00B81AEE" w:rsidRPr="00F743C7" w:rsidRDefault="00B81AEE" w:rsidP="00B81AEE">
      <w:pPr>
        <w:jc w:val="center"/>
        <w:rPr>
          <w:rFonts w:ascii="Bookman Old Style" w:hAnsi="Bookman Old Style" w:cs="Times New Roman"/>
          <w:sz w:val="28"/>
          <w:szCs w:val="28"/>
          <w:lang w:val="el-GR"/>
        </w:rPr>
      </w:pPr>
    </w:p>
    <w:p w14:paraId="38FB3403" w14:textId="77777777" w:rsidR="00B81AEE" w:rsidRPr="00F743C7" w:rsidRDefault="00B81AEE" w:rsidP="00B81AEE">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[ΜΑΛΑΧΤΟΣ, ΙΩΑΝΝΙΔΗΣ, ΕΦΡΑΙΜ, Δ/</w:t>
      </w:r>
      <w:proofErr w:type="spellStart"/>
      <w:r w:rsidRPr="00F743C7">
        <w:rPr>
          <w:rFonts w:ascii="Bookman Old Style" w:hAnsi="Bookman Old Style" w:cs="Times New Roman"/>
          <w:sz w:val="28"/>
          <w:szCs w:val="28"/>
          <w:lang w:val="el-GR"/>
        </w:rPr>
        <w:t>στές</w:t>
      </w:r>
      <w:proofErr w:type="spellEnd"/>
      <w:r w:rsidRPr="00F743C7">
        <w:rPr>
          <w:rFonts w:ascii="Bookman Old Style" w:hAnsi="Bookman Old Style" w:cs="Times New Roman"/>
          <w:sz w:val="28"/>
          <w:szCs w:val="28"/>
          <w:lang w:val="el-GR"/>
        </w:rPr>
        <w:t>]</w:t>
      </w:r>
    </w:p>
    <w:p w14:paraId="180729BD" w14:textId="77777777" w:rsidR="00B81AEE" w:rsidRPr="00F743C7" w:rsidRDefault="00B81AEE" w:rsidP="00B81AEE">
      <w:pPr>
        <w:rPr>
          <w:rFonts w:ascii="Bookman Old Style" w:hAnsi="Bookman Old Style" w:cs="Times New Roman"/>
          <w:sz w:val="28"/>
          <w:szCs w:val="28"/>
          <w:lang w:val="el-GR"/>
        </w:rPr>
      </w:pPr>
    </w:p>
    <w:p w14:paraId="2938E964" w14:textId="1C951687" w:rsidR="00B81AEE" w:rsidRDefault="00B81AEE" w:rsidP="002F0575">
      <w:pPr>
        <w:tabs>
          <w:tab w:val="left" w:pos="3544"/>
          <w:tab w:val="left" w:pos="8640"/>
        </w:tabs>
        <w:spacing w:after="0"/>
        <w:ind w:left="720"/>
        <w:jc w:val="both"/>
        <w:rPr>
          <w:rFonts w:ascii="Bookman Old Style" w:hAnsi="Bookman Old Style" w:cs="Times New Roman"/>
          <w:sz w:val="28"/>
          <w:szCs w:val="28"/>
          <w:lang w:val="el-GR"/>
        </w:rPr>
      </w:pPr>
      <w:r>
        <w:rPr>
          <w:rFonts w:ascii="Bookman Old Style" w:hAnsi="Bookman Old Style" w:cs="Times New Roman"/>
          <w:sz w:val="28"/>
          <w:szCs w:val="28"/>
          <w:lang w:val="el-GR"/>
        </w:rPr>
        <w:t>ΑΝΑΦΟΡΙΚΑ ΜΕ ΤΟΝ ΠΕΡΙ ΕΤΑΙΡΕΙΩΝ ΝΟΜΟ, ΚΕΦ.113</w:t>
      </w:r>
    </w:p>
    <w:p w14:paraId="4C6ECBE6" w14:textId="77777777" w:rsidR="00B81AEE" w:rsidRDefault="00B81AEE" w:rsidP="00B81AEE">
      <w:pPr>
        <w:tabs>
          <w:tab w:val="left" w:pos="3544"/>
        </w:tabs>
        <w:spacing w:after="0"/>
        <w:ind w:hanging="142"/>
        <w:jc w:val="both"/>
        <w:rPr>
          <w:rFonts w:ascii="Bookman Old Style" w:hAnsi="Bookman Old Style" w:cs="Times New Roman"/>
          <w:sz w:val="28"/>
          <w:szCs w:val="28"/>
          <w:lang w:val="el-GR"/>
        </w:rPr>
      </w:pPr>
    </w:p>
    <w:p w14:paraId="66DCF573" w14:textId="77777777" w:rsidR="00B81AEE" w:rsidRDefault="00B81AEE" w:rsidP="00B81AEE">
      <w:pPr>
        <w:tabs>
          <w:tab w:val="left" w:pos="3544"/>
        </w:tabs>
        <w:spacing w:after="0"/>
        <w:jc w:val="both"/>
        <w:rPr>
          <w:rFonts w:ascii="Bookman Old Style" w:hAnsi="Bookman Old Style" w:cs="Times New Roman"/>
          <w:sz w:val="28"/>
          <w:szCs w:val="28"/>
          <w:lang w:val="el-GR"/>
        </w:rPr>
      </w:pPr>
    </w:p>
    <w:p w14:paraId="06BE6101" w14:textId="03B6778B" w:rsidR="00B81AEE" w:rsidRPr="00B81AEE" w:rsidRDefault="00B81AEE" w:rsidP="002F0575">
      <w:pPr>
        <w:tabs>
          <w:tab w:val="left" w:pos="3544"/>
        </w:tabs>
        <w:spacing w:after="0"/>
        <w:jc w:val="center"/>
        <w:rPr>
          <w:rFonts w:ascii="Bookman Old Style" w:hAnsi="Bookman Old Style" w:cs="Times New Roman"/>
          <w:sz w:val="28"/>
          <w:szCs w:val="28"/>
          <w:lang w:val="el-GR"/>
        </w:rPr>
      </w:pPr>
      <w:r>
        <w:rPr>
          <w:rFonts w:ascii="Bookman Old Style" w:hAnsi="Bookman Old Style" w:cs="Times New Roman"/>
          <w:sz w:val="28"/>
          <w:szCs w:val="28"/>
          <w:lang w:val="el-GR"/>
        </w:rPr>
        <w:t>ΑΝΑΦΟΡΙΚΑ ΜΕ ΤΗΝ ΑΙΤΗΣΗ ΤΗΣ</w:t>
      </w:r>
      <w:r w:rsidR="002F0575" w:rsidRPr="002F0575">
        <w:rPr>
          <w:rFonts w:ascii="Bookman Old Style" w:hAnsi="Bookman Old Style" w:cs="Times New Roman"/>
          <w:sz w:val="28"/>
          <w:szCs w:val="28"/>
          <w:lang w:val="el-GR"/>
        </w:rPr>
        <w:t xml:space="preserve"> </w:t>
      </w:r>
      <w:r>
        <w:rPr>
          <w:rFonts w:ascii="Bookman Old Style" w:hAnsi="Bookman Old Style" w:cs="Times New Roman"/>
          <w:sz w:val="28"/>
          <w:szCs w:val="28"/>
          <w:lang w:val="el-GR"/>
        </w:rPr>
        <w:t>ΟΝΕΧΙΜ</w:t>
      </w:r>
      <w:r w:rsidRPr="00B81AEE">
        <w:rPr>
          <w:rFonts w:ascii="Bookman Old Style" w:hAnsi="Bookman Old Style" w:cs="Times New Roman"/>
          <w:sz w:val="28"/>
          <w:szCs w:val="28"/>
          <w:lang w:val="el-GR"/>
        </w:rPr>
        <w:t xml:space="preserve"> </w:t>
      </w:r>
      <w:r>
        <w:rPr>
          <w:rFonts w:ascii="Bookman Old Style" w:hAnsi="Bookman Old Style" w:cs="Times New Roman"/>
          <w:sz w:val="28"/>
          <w:szCs w:val="28"/>
        </w:rPr>
        <w:t>GROUP</w:t>
      </w:r>
      <w:r w:rsidRPr="00B81AEE">
        <w:rPr>
          <w:rFonts w:ascii="Bookman Old Style" w:hAnsi="Bookman Old Style" w:cs="Times New Roman"/>
          <w:sz w:val="28"/>
          <w:szCs w:val="28"/>
          <w:lang w:val="el-GR"/>
        </w:rPr>
        <w:t xml:space="preserve"> </w:t>
      </w:r>
      <w:r>
        <w:rPr>
          <w:rFonts w:ascii="Bookman Old Style" w:hAnsi="Bookman Old Style" w:cs="Times New Roman"/>
          <w:sz w:val="28"/>
          <w:szCs w:val="28"/>
        </w:rPr>
        <w:t>MANAGEMENT</w:t>
      </w:r>
      <w:r w:rsidRPr="00B81AEE">
        <w:rPr>
          <w:rFonts w:ascii="Bookman Old Style" w:hAnsi="Bookman Old Style" w:cs="Times New Roman"/>
          <w:sz w:val="28"/>
          <w:szCs w:val="28"/>
          <w:lang w:val="el-GR"/>
        </w:rPr>
        <w:t xml:space="preserve"> </w:t>
      </w:r>
      <w:r>
        <w:rPr>
          <w:rFonts w:ascii="Bookman Old Style" w:hAnsi="Bookman Old Style" w:cs="Times New Roman"/>
          <w:sz w:val="28"/>
          <w:szCs w:val="28"/>
        </w:rPr>
        <w:t>LIMITED</w:t>
      </w:r>
    </w:p>
    <w:p w14:paraId="2C170CC9" w14:textId="24272816" w:rsidR="00B81AEE" w:rsidRPr="004B2370" w:rsidRDefault="00B81AEE" w:rsidP="00B81AEE">
      <w:pPr>
        <w:tabs>
          <w:tab w:val="left" w:pos="1985"/>
          <w:tab w:val="left" w:pos="5670"/>
        </w:tabs>
        <w:ind w:left="2694" w:hanging="426"/>
        <w:rPr>
          <w:rFonts w:ascii="Bookman Old Style" w:hAnsi="Bookman Old Style" w:cs="Times New Roman"/>
          <w:i/>
          <w:sz w:val="28"/>
          <w:szCs w:val="28"/>
          <w:lang w:val="el-GR"/>
        </w:rPr>
      </w:pPr>
      <w:r w:rsidRPr="000F3727">
        <w:rPr>
          <w:rFonts w:ascii="Bookman Old Style" w:hAnsi="Bookman Old Style" w:cs="Times New Roman"/>
          <w:i/>
          <w:sz w:val="28"/>
          <w:szCs w:val="28"/>
          <w:lang w:val="el-GR"/>
        </w:rPr>
        <w:tab/>
      </w:r>
      <w:r w:rsidRPr="000F3727">
        <w:rPr>
          <w:rFonts w:ascii="Bookman Old Style" w:hAnsi="Bookman Old Style" w:cs="Times New Roman"/>
          <w:i/>
          <w:sz w:val="28"/>
          <w:szCs w:val="28"/>
          <w:lang w:val="el-GR"/>
        </w:rPr>
        <w:tab/>
      </w:r>
      <w:r w:rsidRPr="000F3727">
        <w:rPr>
          <w:rFonts w:ascii="Bookman Old Style" w:hAnsi="Bookman Old Style" w:cs="Times New Roman"/>
          <w:i/>
          <w:sz w:val="28"/>
          <w:szCs w:val="28"/>
          <w:lang w:val="el-GR"/>
        </w:rPr>
        <w:tab/>
      </w:r>
      <w:r>
        <w:rPr>
          <w:rFonts w:ascii="Bookman Old Style" w:hAnsi="Bookman Old Style" w:cs="Times New Roman"/>
          <w:i/>
          <w:sz w:val="28"/>
          <w:szCs w:val="28"/>
          <w:lang w:val="el-GR"/>
        </w:rPr>
        <w:tab/>
      </w:r>
      <w:proofErr w:type="spellStart"/>
      <w:r w:rsidRPr="00F743C7">
        <w:rPr>
          <w:rFonts w:ascii="Bookman Old Style" w:hAnsi="Bookman Old Style" w:cs="Times New Roman"/>
          <w:i/>
          <w:sz w:val="28"/>
          <w:szCs w:val="28"/>
          <w:lang w:val="el-GR"/>
        </w:rPr>
        <w:t>Εφεσείουσ</w:t>
      </w:r>
      <w:proofErr w:type="spellEnd"/>
      <w:r>
        <w:rPr>
          <w:rFonts w:ascii="Bookman Old Style" w:hAnsi="Bookman Old Style" w:cs="Times New Roman"/>
          <w:i/>
          <w:sz w:val="28"/>
          <w:szCs w:val="28"/>
        </w:rPr>
        <w:t>a</w:t>
      </w:r>
      <w:r w:rsidRPr="004B2370">
        <w:rPr>
          <w:rFonts w:ascii="Bookman Old Style" w:hAnsi="Bookman Old Style" w:cs="Times New Roman"/>
          <w:i/>
          <w:sz w:val="28"/>
          <w:szCs w:val="28"/>
          <w:lang w:val="el-GR"/>
        </w:rPr>
        <w:t>,</w:t>
      </w:r>
    </w:p>
    <w:p w14:paraId="0B523F95" w14:textId="77777777" w:rsidR="00B81AEE" w:rsidRPr="004B2370" w:rsidRDefault="00B81AEE" w:rsidP="00B81AEE">
      <w:pPr>
        <w:jc w:val="center"/>
        <w:rPr>
          <w:rFonts w:ascii="Bookman Old Style" w:hAnsi="Bookman Old Style" w:cs="Times New Roman"/>
          <w:iCs/>
          <w:sz w:val="28"/>
          <w:szCs w:val="28"/>
          <w:lang w:val="el-GR"/>
        </w:rPr>
      </w:pPr>
      <w:r w:rsidRPr="00F743C7">
        <w:rPr>
          <w:rFonts w:ascii="Bookman Old Style" w:hAnsi="Bookman Old Style" w:cs="Times New Roman"/>
          <w:iCs/>
          <w:sz w:val="28"/>
          <w:szCs w:val="28"/>
          <w:lang w:val="el-GR"/>
        </w:rPr>
        <w:t>ν</w:t>
      </w:r>
      <w:r w:rsidRPr="004B2370">
        <w:rPr>
          <w:rFonts w:ascii="Bookman Old Style" w:hAnsi="Bookman Old Style" w:cs="Times New Roman"/>
          <w:iCs/>
          <w:sz w:val="28"/>
          <w:szCs w:val="28"/>
          <w:lang w:val="el-GR"/>
        </w:rPr>
        <w:t>.</w:t>
      </w:r>
    </w:p>
    <w:p w14:paraId="6D5DF252" w14:textId="77777777" w:rsidR="00B81AEE" w:rsidRPr="004B2370" w:rsidRDefault="00B81AEE" w:rsidP="00B81AEE">
      <w:pPr>
        <w:spacing w:after="0" w:line="240" w:lineRule="auto"/>
        <w:jc w:val="center"/>
        <w:rPr>
          <w:rFonts w:ascii="Bookman Old Style" w:hAnsi="Bookman Old Style" w:cs="Times New Roman"/>
          <w:iCs/>
          <w:sz w:val="28"/>
          <w:szCs w:val="28"/>
          <w:lang w:val="el-GR"/>
        </w:rPr>
      </w:pPr>
    </w:p>
    <w:p w14:paraId="6A58B054" w14:textId="77777777" w:rsidR="00B81AEE" w:rsidRPr="00B81AEE" w:rsidRDefault="00B81AEE" w:rsidP="00B81AEE">
      <w:pPr>
        <w:jc w:val="center"/>
        <w:rPr>
          <w:rFonts w:ascii="Bookman Old Style" w:hAnsi="Bookman Old Style" w:cs="Times New Roman"/>
          <w:iCs/>
          <w:sz w:val="28"/>
          <w:szCs w:val="28"/>
          <w:lang w:val="el-GR"/>
        </w:rPr>
      </w:pPr>
      <w:r>
        <w:rPr>
          <w:rFonts w:ascii="Bookman Old Style" w:hAnsi="Bookman Old Style" w:cs="Times New Roman"/>
          <w:iCs/>
          <w:sz w:val="28"/>
          <w:szCs w:val="28"/>
          <w:lang w:val="el-GR"/>
        </w:rPr>
        <w:t xml:space="preserve">ΑΝΑΦΟΡΙΚΑ ΜΕ ΤΗΝ ΕΤΑΙΡΕΙΑ </w:t>
      </w:r>
      <w:r>
        <w:rPr>
          <w:rFonts w:ascii="Bookman Old Style" w:hAnsi="Bookman Old Style" w:cs="Times New Roman"/>
          <w:iCs/>
          <w:sz w:val="28"/>
          <w:szCs w:val="28"/>
        </w:rPr>
        <w:t>ROSTEX</w:t>
      </w:r>
      <w:r w:rsidRPr="00B81AEE">
        <w:rPr>
          <w:rFonts w:ascii="Bookman Old Style" w:hAnsi="Bookman Old Style" w:cs="Times New Roman"/>
          <w:iCs/>
          <w:sz w:val="28"/>
          <w:szCs w:val="28"/>
          <w:lang w:val="el-GR"/>
        </w:rPr>
        <w:t xml:space="preserve"> </w:t>
      </w:r>
      <w:r>
        <w:rPr>
          <w:rFonts w:ascii="Bookman Old Style" w:hAnsi="Bookman Old Style" w:cs="Times New Roman"/>
          <w:iCs/>
          <w:sz w:val="28"/>
          <w:szCs w:val="28"/>
        </w:rPr>
        <w:t>ENTERPRISES</w:t>
      </w:r>
      <w:r w:rsidRPr="00B81AEE">
        <w:rPr>
          <w:rFonts w:ascii="Bookman Old Style" w:hAnsi="Bookman Old Style" w:cs="Times New Roman"/>
          <w:iCs/>
          <w:sz w:val="28"/>
          <w:szCs w:val="28"/>
          <w:lang w:val="el-GR"/>
        </w:rPr>
        <w:t xml:space="preserve"> </w:t>
      </w:r>
      <w:r>
        <w:rPr>
          <w:rFonts w:ascii="Bookman Old Style" w:hAnsi="Bookman Old Style" w:cs="Times New Roman"/>
          <w:iCs/>
          <w:sz w:val="28"/>
          <w:szCs w:val="28"/>
        </w:rPr>
        <w:t>LIMITED</w:t>
      </w:r>
    </w:p>
    <w:p w14:paraId="79BFCA62" w14:textId="793CC1C0" w:rsidR="00B81AEE" w:rsidRPr="00F743C7" w:rsidRDefault="00B81AEE" w:rsidP="00B81AEE">
      <w:pPr>
        <w:tabs>
          <w:tab w:val="left" w:pos="5670"/>
        </w:tabs>
        <w:rPr>
          <w:rFonts w:ascii="Bookman Old Style" w:hAnsi="Bookman Old Style" w:cs="Times New Roman"/>
          <w:i/>
          <w:sz w:val="28"/>
          <w:szCs w:val="28"/>
          <w:lang w:val="el-GR"/>
        </w:rPr>
      </w:pPr>
      <w:r w:rsidRPr="001A2E07">
        <w:rPr>
          <w:rFonts w:ascii="Bookman Old Style" w:hAnsi="Bookman Old Style" w:cs="Times New Roman"/>
          <w:i/>
          <w:sz w:val="28"/>
          <w:szCs w:val="28"/>
          <w:lang w:val="el-GR"/>
        </w:rPr>
        <w:tab/>
      </w:r>
      <w:r w:rsidRPr="001A2E07">
        <w:rPr>
          <w:rFonts w:ascii="Bookman Old Style" w:hAnsi="Bookman Old Style" w:cs="Times New Roman"/>
          <w:i/>
          <w:sz w:val="28"/>
          <w:szCs w:val="28"/>
          <w:lang w:val="el-GR"/>
        </w:rPr>
        <w:tab/>
      </w:r>
      <w:r w:rsidRPr="001A2E07">
        <w:rPr>
          <w:rFonts w:ascii="Bookman Old Style" w:hAnsi="Bookman Old Style" w:cs="Times New Roman"/>
          <w:i/>
          <w:sz w:val="28"/>
          <w:szCs w:val="28"/>
          <w:lang w:val="el-GR"/>
        </w:rPr>
        <w:tab/>
      </w:r>
      <w:r w:rsidRPr="00F743C7">
        <w:rPr>
          <w:rFonts w:ascii="Bookman Old Style" w:hAnsi="Bookman Old Style" w:cs="Times New Roman"/>
          <w:i/>
          <w:sz w:val="28"/>
          <w:szCs w:val="28"/>
          <w:lang w:val="el-GR"/>
        </w:rPr>
        <w:t>Εφεσίβλη</w:t>
      </w:r>
      <w:r>
        <w:rPr>
          <w:rFonts w:ascii="Bookman Old Style" w:hAnsi="Bookman Old Style" w:cs="Times New Roman"/>
          <w:i/>
          <w:sz w:val="28"/>
          <w:szCs w:val="28"/>
          <w:lang w:val="el-GR"/>
        </w:rPr>
        <w:t>της</w:t>
      </w:r>
      <w:r w:rsidRPr="00F743C7">
        <w:rPr>
          <w:rFonts w:ascii="Bookman Old Style" w:hAnsi="Bookman Old Style" w:cs="Times New Roman"/>
          <w:i/>
          <w:sz w:val="28"/>
          <w:szCs w:val="28"/>
          <w:lang w:val="el-GR"/>
        </w:rPr>
        <w:t>.</w:t>
      </w:r>
    </w:p>
    <w:p w14:paraId="4DC40D62" w14:textId="77777777" w:rsidR="00B81AEE" w:rsidRDefault="00B81AEE" w:rsidP="00B81AEE">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w:t>
      </w:r>
    </w:p>
    <w:p w14:paraId="75424523" w14:textId="3920E61A" w:rsidR="00B81AEE" w:rsidRPr="00B81AEE" w:rsidRDefault="00B81AEE" w:rsidP="00B81AEE">
      <w:pPr>
        <w:tabs>
          <w:tab w:val="left" w:pos="567"/>
        </w:tabs>
        <w:spacing w:line="276" w:lineRule="auto"/>
        <w:ind w:left="567"/>
        <w:jc w:val="both"/>
        <w:rPr>
          <w:rFonts w:ascii="Bookman Old Style" w:hAnsi="Bookman Old Style" w:cs="Times New Roman"/>
          <w:i/>
          <w:iCs/>
          <w:sz w:val="28"/>
          <w:szCs w:val="28"/>
          <w:lang w:val="el-GR"/>
        </w:rPr>
      </w:pPr>
      <w:r>
        <w:rPr>
          <w:rFonts w:ascii="Bookman Old Style" w:hAnsi="Bookman Old Style" w:cs="Times New Roman"/>
          <w:i/>
          <w:iCs/>
          <w:sz w:val="28"/>
          <w:szCs w:val="28"/>
          <w:lang w:val="el-GR"/>
        </w:rPr>
        <w:t>Μ. Κυπριανού, για Μ. Κυπριανού &amp; Σία Δ.Ε.Π.Ε.</w:t>
      </w:r>
      <w:r w:rsidRPr="000F3727">
        <w:rPr>
          <w:rFonts w:ascii="Bookman Old Style" w:hAnsi="Bookman Old Style" w:cs="Times New Roman"/>
          <w:sz w:val="28"/>
          <w:szCs w:val="28"/>
          <w:lang w:val="el-GR"/>
        </w:rPr>
        <w:t xml:space="preserve">, </w:t>
      </w:r>
      <w:r>
        <w:rPr>
          <w:rFonts w:ascii="Bookman Old Style" w:hAnsi="Bookman Old Style" w:cs="Times New Roman"/>
          <w:sz w:val="28"/>
          <w:szCs w:val="28"/>
          <w:lang w:val="el-GR"/>
        </w:rPr>
        <w:t xml:space="preserve">για την </w:t>
      </w:r>
      <w:proofErr w:type="spellStart"/>
      <w:r>
        <w:rPr>
          <w:rFonts w:ascii="Bookman Old Style" w:hAnsi="Bookman Old Style" w:cs="Times New Roman"/>
          <w:sz w:val="28"/>
          <w:szCs w:val="28"/>
          <w:lang w:val="el-GR"/>
        </w:rPr>
        <w:t>Εφεσείουσα</w:t>
      </w:r>
      <w:proofErr w:type="spellEnd"/>
      <w:r>
        <w:rPr>
          <w:rFonts w:ascii="Bookman Old Style" w:hAnsi="Bookman Old Style" w:cs="Times New Roman"/>
          <w:sz w:val="28"/>
          <w:szCs w:val="28"/>
          <w:lang w:val="el-GR"/>
        </w:rPr>
        <w:t>.</w:t>
      </w:r>
    </w:p>
    <w:p w14:paraId="0A633612" w14:textId="5D24A2A7" w:rsidR="00B81AEE" w:rsidRPr="000F3727" w:rsidRDefault="00B81AEE" w:rsidP="00B81AEE">
      <w:pPr>
        <w:tabs>
          <w:tab w:val="left" w:pos="567"/>
        </w:tabs>
        <w:spacing w:line="276" w:lineRule="auto"/>
        <w:ind w:left="567"/>
        <w:jc w:val="both"/>
        <w:rPr>
          <w:rFonts w:ascii="Bookman Old Style" w:hAnsi="Bookman Old Style" w:cs="Times New Roman"/>
          <w:sz w:val="28"/>
          <w:szCs w:val="28"/>
          <w:lang w:val="el-GR"/>
        </w:rPr>
      </w:pPr>
      <w:r>
        <w:rPr>
          <w:rFonts w:ascii="Bookman Old Style" w:hAnsi="Bookman Old Style" w:cs="Times New Roman"/>
          <w:i/>
          <w:iCs/>
          <w:sz w:val="28"/>
          <w:szCs w:val="28"/>
          <w:lang w:val="el-GR"/>
        </w:rPr>
        <w:t>Ουδεμία εμφάνιση</w:t>
      </w:r>
      <w:r>
        <w:rPr>
          <w:rFonts w:ascii="Bookman Old Style" w:hAnsi="Bookman Old Style" w:cs="Times New Roman"/>
          <w:sz w:val="28"/>
          <w:szCs w:val="28"/>
          <w:lang w:val="el-GR"/>
        </w:rPr>
        <w:t xml:space="preserve"> για την Εφεσίβλητη.</w:t>
      </w:r>
    </w:p>
    <w:p w14:paraId="6A44D6D9" w14:textId="77777777" w:rsidR="00B81AEE" w:rsidRPr="00F743C7" w:rsidRDefault="00B81AEE" w:rsidP="00B81AEE">
      <w:pPr>
        <w:spacing w:line="276" w:lineRule="auto"/>
        <w:ind w:left="567"/>
        <w:rPr>
          <w:rFonts w:ascii="Bookman Old Style" w:hAnsi="Bookman Old Style" w:cs="Times New Roman"/>
          <w:sz w:val="28"/>
          <w:szCs w:val="28"/>
          <w:lang w:val="el-GR"/>
        </w:rPr>
      </w:pPr>
    </w:p>
    <w:p w14:paraId="6DF32104" w14:textId="77777777" w:rsidR="00B81AEE" w:rsidRPr="00F743C7" w:rsidRDefault="00B81AEE" w:rsidP="00B81AEE">
      <w:pPr>
        <w:tabs>
          <w:tab w:val="left" w:pos="567"/>
        </w:tabs>
        <w:spacing w:after="0" w:line="276" w:lineRule="auto"/>
        <w:rPr>
          <w:rFonts w:ascii="Bookman Old Style" w:hAnsi="Bookman Old Style" w:cs="Times New Roman"/>
          <w:sz w:val="28"/>
          <w:szCs w:val="28"/>
          <w:lang w:val="el-GR"/>
        </w:rPr>
      </w:pPr>
      <w:r w:rsidRPr="00F743C7">
        <w:rPr>
          <w:rFonts w:ascii="Bookman Old Style" w:hAnsi="Bookman Old Style" w:cs="Times New Roman"/>
          <w:b/>
          <w:sz w:val="28"/>
          <w:szCs w:val="28"/>
          <w:lang w:val="el-GR"/>
        </w:rPr>
        <w:t>ΜΑΛΑΧΤΟΣ, Δ.:</w:t>
      </w:r>
      <w:r w:rsidRPr="00F743C7">
        <w:rPr>
          <w:rFonts w:ascii="Bookman Old Style" w:hAnsi="Bookman Old Style" w:cs="Times New Roman"/>
          <w:sz w:val="28"/>
          <w:szCs w:val="28"/>
          <w:lang w:val="el-GR"/>
        </w:rPr>
        <w:t xml:space="preserve"> Η απόφαση του Δικαστηρίου είναι ομόφωνη και </w:t>
      </w:r>
    </w:p>
    <w:p w14:paraId="23467CA8" w14:textId="77777777" w:rsidR="00B81AEE" w:rsidRPr="00F743C7" w:rsidRDefault="00B81AEE" w:rsidP="00B81AEE">
      <w:pPr>
        <w:tabs>
          <w:tab w:val="left" w:pos="567"/>
        </w:tabs>
        <w:spacing w:line="276"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 xml:space="preserve"> θα δοθεί από την </w:t>
      </w:r>
      <w:proofErr w:type="spellStart"/>
      <w:r w:rsidRPr="00F743C7">
        <w:rPr>
          <w:rFonts w:ascii="Bookman Old Style" w:hAnsi="Bookman Old Style" w:cs="Times New Roman"/>
          <w:sz w:val="28"/>
          <w:szCs w:val="28"/>
          <w:lang w:val="el-GR"/>
        </w:rPr>
        <w:t>Εφραίμ</w:t>
      </w:r>
      <w:proofErr w:type="spellEnd"/>
      <w:r w:rsidRPr="00F743C7">
        <w:rPr>
          <w:rFonts w:ascii="Bookman Old Style" w:hAnsi="Bookman Old Style" w:cs="Times New Roman"/>
          <w:sz w:val="28"/>
          <w:szCs w:val="28"/>
          <w:lang w:val="el-GR"/>
        </w:rPr>
        <w:t>, Δ.</w:t>
      </w:r>
    </w:p>
    <w:p w14:paraId="5B6156B8" w14:textId="77777777" w:rsidR="00B81AEE" w:rsidRDefault="00B81AEE" w:rsidP="00B81AEE">
      <w:pPr>
        <w:tabs>
          <w:tab w:val="left" w:pos="567"/>
        </w:tabs>
        <w:rPr>
          <w:rFonts w:ascii="Bookman Old Style" w:hAnsi="Bookman Old Style" w:cs="Times New Roman"/>
          <w:b/>
          <w:sz w:val="28"/>
          <w:szCs w:val="28"/>
          <w:u w:val="single"/>
          <w:lang w:val="el-GR"/>
        </w:rPr>
      </w:pPr>
    </w:p>
    <w:p w14:paraId="64794C3A" w14:textId="77777777" w:rsidR="006D26FE" w:rsidRDefault="006D26FE" w:rsidP="00B81AEE">
      <w:pPr>
        <w:tabs>
          <w:tab w:val="left" w:pos="567"/>
        </w:tabs>
        <w:rPr>
          <w:rFonts w:ascii="Bookman Old Style" w:hAnsi="Bookman Old Style" w:cs="Times New Roman"/>
          <w:b/>
          <w:sz w:val="28"/>
          <w:szCs w:val="28"/>
          <w:u w:val="single"/>
          <w:lang w:val="el-GR"/>
        </w:rPr>
      </w:pPr>
    </w:p>
    <w:p w14:paraId="7AEBA93C" w14:textId="77777777" w:rsidR="00115AC7" w:rsidRPr="00F743C7" w:rsidRDefault="00115AC7" w:rsidP="00B81AEE">
      <w:pPr>
        <w:tabs>
          <w:tab w:val="left" w:pos="567"/>
        </w:tabs>
        <w:rPr>
          <w:rFonts w:ascii="Bookman Old Style" w:hAnsi="Bookman Old Style" w:cs="Times New Roman"/>
          <w:b/>
          <w:sz w:val="28"/>
          <w:szCs w:val="28"/>
          <w:u w:val="single"/>
          <w:lang w:val="el-GR"/>
        </w:rPr>
      </w:pPr>
    </w:p>
    <w:p w14:paraId="4048B686" w14:textId="77777777" w:rsidR="00B81AEE" w:rsidRPr="00F743C7" w:rsidRDefault="00B81AEE" w:rsidP="00B81AEE">
      <w:pPr>
        <w:tabs>
          <w:tab w:val="left" w:pos="567"/>
        </w:tabs>
        <w:jc w:val="center"/>
        <w:rPr>
          <w:rFonts w:ascii="Bookman Old Style" w:hAnsi="Bookman Old Style" w:cs="Times New Roman"/>
          <w:b/>
          <w:sz w:val="28"/>
          <w:szCs w:val="28"/>
          <w:u w:val="single"/>
          <w:lang w:val="el-GR"/>
        </w:rPr>
      </w:pPr>
      <w:r w:rsidRPr="00F743C7">
        <w:rPr>
          <w:rFonts w:ascii="Bookman Old Style" w:hAnsi="Bookman Old Style" w:cs="Times New Roman"/>
          <w:b/>
          <w:sz w:val="28"/>
          <w:szCs w:val="28"/>
          <w:u w:val="single"/>
          <w:lang w:val="el-GR"/>
        </w:rPr>
        <w:lastRenderedPageBreak/>
        <w:t>Α Π Ο Φ Α Σ Η</w:t>
      </w:r>
    </w:p>
    <w:p w14:paraId="408EF8D0" w14:textId="77777777" w:rsidR="00B81AEE" w:rsidRPr="00F743C7" w:rsidRDefault="00B81AEE" w:rsidP="00B81AEE">
      <w:pPr>
        <w:tabs>
          <w:tab w:val="left" w:pos="567"/>
        </w:tabs>
        <w:jc w:val="center"/>
        <w:rPr>
          <w:rFonts w:ascii="Bookman Old Style" w:hAnsi="Bookman Old Style" w:cs="Times New Roman"/>
          <w:b/>
          <w:sz w:val="28"/>
          <w:szCs w:val="28"/>
          <w:u w:val="single"/>
          <w:lang w:val="el-GR"/>
        </w:rPr>
      </w:pPr>
    </w:p>
    <w:p w14:paraId="1E12FBDF" w14:textId="6180C6A5" w:rsidR="004F1C86" w:rsidRDefault="00B81AEE" w:rsidP="00B81AEE">
      <w:pPr>
        <w:spacing w:line="480" w:lineRule="auto"/>
        <w:ind w:firstLine="567"/>
        <w:jc w:val="both"/>
        <w:rPr>
          <w:rFonts w:ascii="Bookman Old Style" w:hAnsi="Bookman Old Style"/>
          <w:sz w:val="28"/>
          <w:szCs w:val="28"/>
          <w:lang w:val="el-GR"/>
        </w:rPr>
      </w:pPr>
      <w:r w:rsidRPr="00F743C7">
        <w:rPr>
          <w:rFonts w:ascii="Bookman Old Style" w:hAnsi="Bookman Old Style" w:cs="Times New Roman"/>
          <w:b/>
          <w:sz w:val="28"/>
          <w:szCs w:val="28"/>
          <w:lang w:val="el-GR"/>
        </w:rPr>
        <w:t>ΕΦΡΑΙΜ, Δ.:</w:t>
      </w:r>
      <w:r>
        <w:rPr>
          <w:rFonts w:ascii="Bookman Old Style" w:hAnsi="Bookman Old Style" w:cs="Times New Roman"/>
          <w:b/>
          <w:sz w:val="28"/>
          <w:szCs w:val="28"/>
          <w:lang w:val="el-GR"/>
        </w:rPr>
        <w:t xml:space="preserve"> </w:t>
      </w:r>
      <w:r w:rsidR="001E4BA7">
        <w:rPr>
          <w:rFonts w:ascii="Bookman Old Style" w:hAnsi="Bookman Old Style"/>
          <w:sz w:val="28"/>
          <w:szCs w:val="28"/>
          <w:lang w:val="el-GR"/>
        </w:rPr>
        <w:t xml:space="preserve">Η παρούσα Έφεση στρέφεται εναντίον απόφασης με την οποία </w:t>
      </w:r>
      <w:proofErr w:type="spellStart"/>
      <w:r w:rsidR="001E4BA7">
        <w:rPr>
          <w:rFonts w:ascii="Bookman Old Style" w:hAnsi="Bookman Old Style"/>
          <w:sz w:val="28"/>
          <w:szCs w:val="28"/>
          <w:lang w:val="el-GR"/>
        </w:rPr>
        <w:t>απερρίφθη</w:t>
      </w:r>
      <w:proofErr w:type="spellEnd"/>
      <w:r w:rsidR="001E4BA7">
        <w:rPr>
          <w:rFonts w:ascii="Bookman Old Style" w:hAnsi="Bookman Old Style"/>
          <w:sz w:val="28"/>
          <w:szCs w:val="28"/>
          <w:lang w:val="el-GR"/>
        </w:rPr>
        <w:t xml:space="preserve"> η αίτηση εκκαθάρισης της εταιρείας </w:t>
      </w:r>
      <w:proofErr w:type="spellStart"/>
      <w:r w:rsidR="001E4BA7">
        <w:rPr>
          <w:rFonts w:ascii="Bookman Old Style" w:hAnsi="Bookman Old Style"/>
          <w:sz w:val="28"/>
          <w:szCs w:val="28"/>
        </w:rPr>
        <w:t>Rostex</w:t>
      </w:r>
      <w:proofErr w:type="spellEnd"/>
      <w:r w:rsidR="001E4BA7" w:rsidRPr="001E4BA7">
        <w:rPr>
          <w:rFonts w:ascii="Bookman Old Style" w:hAnsi="Bookman Old Style"/>
          <w:sz w:val="28"/>
          <w:szCs w:val="28"/>
          <w:lang w:val="el-GR"/>
        </w:rPr>
        <w:t xml:space="preserve"> </w:t>
      </w:r>
      <w:r w:rsidR="00A47DDD">
        <w:rPr>
          <w:rFonts w:ascii="Bookman Old Style" w:hAnsi="Bookman Old Style"/>
          <w:sz w:val="28"/>
          <w:szCs w:val="28"/>
        </w:rPr>
        <w:t>E</w:t>
      </w:r>
      <w:r w:rsidR="001E4BA7">
        <w:rPr>
          <w:rFonts w:ascii="Bookman Old Style" w:hAnsi="Bookman Old Style"/>
          <w:sz w:val="28"/>
          <w:szCs w:val="28"/>
        </w:rPr>
        <w:t>nterprises</w:t>
      </w:r>
      <w:r w:rsidR="001E4BA7" w:rsidRPr="001E4BA7">
        <w:rPr>
          <w:rFonts w:ascii="Bookman Old Style" w:hAnsi="Bookman Old Style"/>
          <w:sz w:val="28"/>
          <w:szCs w:val="28"/>
          <w:lang w:val="el-GR"/>
        </w:rPr>
        <w:t xml:space="preserve"> </w:t>
      </w:r>
      <w:r w:rsidR="001E4BA7">
        <w:rPr>
          <w:rFonts w:ascii="Bookman Old Style" w:hAnsi="Bookman Old Style"/>
          <w:sz w:val="28"/>
          <w:szCs w:val="28"/>
        </w:rPr>
        <w:t>Limited</w:t>
      </w:r>
      <w:r w:rsidR="001E4BA7" w:rsidRPr="001E4BA7">
        <w:rPr>
          <w:rFonts w:ascii="Bookman Old Style" w:hAnsi="Bookman Old Style"/>
          <w:sz w:val="28"/>
          <w:szCs w:val="28"/>
          <w:lang w:val="el-GR"/>
        </w:rPr>
        <w:t xml:space="preserve">. </w:t>
      </w:r>
    </w:p>
    <w:p w14:paraId="4D53D442" w14:textId="6B7BCFCA" w:rsidR="00115AC7" w:rsidRDefault="00115AC7" w:rsidP="004B08EA">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Στην αίτηση αναφερόταν ότι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και η </w:t>
      </w:r>
      <w:proofErr w:type="spellStart"/>
      <w:r>
        <w:rPr>
          <w:rFonts w:ascii="Bookman Old Style" w:hAnsi="Bookman Old Style"/>
          <w:sz w:val="28"/>
          <w:szCs w:val="28"/>
        </w:rPr>
        <w:t>Rostex</w:t>
      </w:r>
      <w:proofErr w:type="spellEnd"/>
      <w:r w:rsidRPr="00115AC7">
        <w:rPr>
          <w:rFonts w:ascii="Bookman Old Style" w:hAnsi="Bookman Old Style"/>
          <w:sz w:val="28"/>
          <w:szCs w:val="28"/>
          <w:lang w:val="el-GR"/>
        </w:rPr>
        <w:t xml:space="preserve"> </w:t>
      </w:r>
      <w:r>
        <w:rPr>
          <w:rFonts w:ascii="Bookman Old Style" w:hAnsi="Bookman Old Style"/>
          <w:sz w:val="28"/>
          <w:szCs w:val="28"/>
          <w:lang w:val="el-GR"/>
        </w:rPr>
        <w:t xml:space="preserve">συνήψαν σύμβαση για την παροχή από την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προς τη </w:t>
      </w:r>
      <w:proofErr w:type="spellStart"/>
      <w:r>
        <w:rPr>
          <w:rFonts w:ascii="Bookman Old Style" w:hAnsi="Bookman Old Style"/>
          <w:sz w:val="28"/>
          <w:szCs w:val="28"/>
        </w:rPr>
        <w:t>Rostex</w:t>
      </w:r>
      <w:proofErr w:type="spellEnd"/>
      <w:r w:rsidRPr="00115AC7">
        <w:rPr>
          <w:rFonts w:ascii="Bookman Old Style" w:hAnsi="Bookman Old Style"/>
          <w:sz w:val="28"/>
          <w:szCs w:val="28"/>
          <w:lang w:val="el-GR"/>
        </w:rPr>
        <w:t xml:space="preserve"> </w:t>
      </w:r>
      <w:r>
        <w:rPr>
          <w:rFonts w:ascii="Bookman Old Style" w:hAnsi="Bookman Old Style"/>
          <w:sz w:val="28"/>
          <w:szCs w:val="28"/>
          <w:lang w:val="el-GR"/>
        </w:rPr>
        <w:t xml:space="preserve">δανείου εκ </w:t>
      </w:r>
      <w:r>
        <w:rPr>
          <w:rFonts w:ascii="Bookman Old Style" w:hAnsi="Bookman Old Style"/>
          <w:sz w:val="28"/>
          <w:szCs w:val="28"/>
        </w:rPr>
        <w:t>US</w:t>
      </w:r>
      <w:r w:rsidRPr="00115AC7">
        <w:rPr>
          <w:rFonts w:ascii="Bookman Old Style" w:hAnsi="Bookman Old Style"/>
          <w:sz w:val="28"/>
          <w:szCs w:val="28"/>
          <w:lang w:val="el-GR"/>
        </w:rPr>
        <w:t>$</w:t>
      </w:r>
      <w:r>
        <w:rPr>
          <w:rFonts w:ascii="Bookman Old Style" w:hAnsi="Bookman Old Style"/>
          <w:sz w:val="28"/>
          <w:szCs w:val="28"/>
          <w:lang w:val="el-GR"/>
        </w:rPr>
        <w:t xml:space="preserve">20.000.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απέδωσε στη </w:t>
      </w:r>
      <w:proofErr w:type="spellStart"/>
      <w:r>
        <w:rPr>
          <w:rFonts w:ascii="Bookman Old Style" w:hAnsi="Bookman Old Style"/>
          <w:sz w:val="28"/>
          <w:szCs w:val="28"/>
        </w:rPr>
        <w:t>Rostex</w:t>
      </w:r>
      <w:proofErr w:type="spellEnd"/>
      <w:r>
        <w:rPr>
          <w:rFonts w:ascii="Bookman Old Style" w:hAnsi="Bookman Old Style"/>
          <w:sz w:val="28"/>
          <w:szCs w:val="28"/>
          <w:lang w:val="el-GR"/>
        </w:rPr>
        <w:t xml:space="preserve"> παράβαση της εν λόγω συμφωνίας και απαίτησε το ποσό πλέον τόκο. Λόγω μη αποπληρωμής,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καταχώρισε αίτηση για διαιτησία στο Διεθνές Διαιτητικό Δικαστήριο του Λονδίνου το οποίο και εξέδωσε απόφαση υπέρ της και εναντίον της </w:t>
      </w:r>
      <w:proofErr w:type="spellStart"/>
      <w:r>
        <w:rPr>
          <w:rFonts w:ascii="Bookman Old Style" w:hAnsi="Bookman Old Style"/>
          <w:sz w:val="28"/>
          <w:szCs w:val="28"/>
        </w:rPr>
        <w:t>Rostex</w:t>
      </w:r>
      <w:proofErr w:type="spellEnd"/>
      <w:r w:rsidRPr="00115AC7">
        <w:rPr>
          <w:rFonts w:ascii="Bookman Old Style" w:hAnsi="Bookman Old Style"/>
          <w:sz w:val="28"/>
          <w:szCs w:val="28"/>
          <w:lang w:val="el-GR"/>
        </w:rPr>
        <w:t>.</w:t>
      </w:r>
      <w:r>
        <w:rPr>
          <w:rFonts w:ascii="Bookman Old Style" w:hAnsi="Bookman Old Style"/>
          <w:sz w:val="28"/>
          <w:szCs w:val="28"/>
          <w:lang w:val="el-GR"/>
        </w:rPr>
        <w:t xml:space="preserve"> Ακολούθως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απέστειλε απαίτηση πληρωμής του ποσού της απόφασης</w:t>
      </w:r>
      <w:r w:rsidR="005D7448">
        <w:rPr>
          <w:rFonts w:ascii="Bookman Old Style" w:hAnsi="Bookman Old Style"/>
          <w:sz w:val="28"/>
          <w:szCs w:val="28"/>
          <w:lang w:val="el-GR"/>
        </w:rPr>
        <w:t xml:space="preserve">, του </w:t>
      </w:r>
      <w:r w:rsidR="00436B56">
        <w:rPr>
          <w:rFonts w:ascii="Bookman Old Style" w:hAnsi="Bookman Old Style"/>
          <w:sz w:val="28"/>
          <w:szCs w:val="28"/>
          <w:lang w:val="el-GR"/>
        </w:rPr>
        <w:t>τόκο</w:t>
      </w:r>
      <w:r w:rsidR="004214BB">
        <w:rPr>
          <w:rFonts w:ascii="Bookman Old Style" w:hAnsi="Bookman Old Style"/>
          <w:sz w:val="28"/>
          <w:szCs w:val="28"/>
          <w:lang w:val="el-GR"/>
        </w:rPr>
        <w:t>υ</w:t>
      </w:r>
      <w:r w:rsidR="00436B56">
        <w:rPr>
          <w:rFonts w:ascii="Bookman Old Style" w:hAnsi="Bookman Old Style"/>
          <w:sz w:val="28"/>
          <w:szCs w:val="28"/>
          <w:lang w:val="el-GR"/>
        </w:rPr>
        <w:t xml:space="preserve"> και </w:t>
      </w:r>
      <w:r w:rsidR="005D7448">
        <w:rPr>
          <w:rFonts w:ascii="Bookman Old Style" w:hAnsi="Bookman Old Style"/>
          <w:sz w:val="28"/>
          <w:szCs w:val="28"/>
          <w:lang w:val="el-GR"/>
        </w:rPr>
        <w:t>των εξόδων</w:t>
      </w:r>
      <w:r>
        <w:rPr>
          <w:rFonts w:ascii="Bookman Old Style" w:hAnsi="Bookman Old Style"/>
          <w:sz w:val="28"/>
          <w:szCs w:val="28"/>
          <w:lang w:val="el-GR"/>
        </w:rPr>
        <w:t xml:space="preserve">, στην οποία η </w:t>
      </w:r>
      <w:proofErr w:type="spellStart"/>
      <w:r>
        <w:rPr>
          <w:rFonts w:ascii="Bookman Old Style" w:hAnsi="Bookman Old Style"/>
          <w:sz w:val="28"/>
          <w:szCs w:val="28"/>
        </w:rPr>
        <w:t>Rostex</w:t>
      </w:r>
      <w:proofErr w:type="spellEnd"/>
      <w:r w:rsidRPr="00115AC7">
        <w:rPr>
          <w:rFonts w:ascii="Bookman Old Style" w:hAnsi="Bookman Old Style"/>
          <w:sz w:val="28"/>
          <w:szCs w:val="28"/>
          <w:lang w:val="el-GR"/>
        </w:rPr>
        <w:t xml:space="preserve"> </w:t>
      </w:r>
      <w:r>
        <w:rPr>
          <w:rFonts w:ascii="Bookman Old Style" w:hAnsi="Bookman Old Style"/>
          <w:sz w:val="28"/>
          <w:szCs w:val="28"/>
          <w:lang w:val="el-GR"/>
        </w:rPr>
        <w:t xml:space="preserve">παρέλειψε να συμμορφωθεί. Έτσι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καταχώρισε αίτηση </w:t>
      </w:r>
      <w:r w:rsidR="00DB0BD8">
        <w:rPr>
          <w:rFonts w:ascii="Bookman Old Style" w:hAnsi="Bookman Old Style"/>
          <w:sz w:val="28"/>
          <w:szCs w:val="28"/>
          <w:lang w:val="el-GR"/>
        </w:rPr>
        <w:t xml:space="preserve">για την </w:t>
      </w:r>
      <w:r>
        <w:rPr>
          <w:rFonts w:ascii="Bookman Old Style" w:hAnsi="Bookman Old Style"/>
          <w:sz w:val="28"/>
          <w:szCs w:val="28"/>
          <w:lang w:val="el-GR"/>
        </w:rPr>
        <w:t xml:space="preserve">εκκαθάριση </w:t>
      </w:r>
      <w:r w:rsidR="00DB0BD8">
        <w:rPr>
          <w:rFonts w:ascii="Bookman Old Style" w:hAnsi="Bookman Old Style"/>
          <w:sz w:val="28"/>
          <w:szCs w:val="28"/>
          <w:lang w:val="el-GR"/>
        </w:rPr>
        <w:t xml:space="preserve">της </w:t>
      </w:r>
      <w:proofErr w:type="spellStart"/>
      <w:r w:rsidR="00DB0BD8">
        <w:rPr>
          <w:rFonts w:ascii="Bookman Old Style" w:hAnsi="Bookman Old Style"/>
          <w:sz w:val="28"/>
          <w:szCs w:val="28"/>
          <w:lang w:val="en-GB"/>
        </w:rPr>
        <w:t>Rostex</w:t>
      </w:r>
      <w:proofErr w:type="spellEnd"/>
      <w:r>
        <w:rPr>
          <w:rFonts w:ascii="Bookman Old Style" w:hAnsi="Bookman Old Style"/>
          <w:sz w:val="28"/>
          <w:szCs w:val="28"/>
          <w:lang w:val="el-GR"/>
        </w:rPr>
        <w:t xml:space="preserve">. Η </w:t>
      </w:r>
      <w:proofErr w:type="spellStart"/>
      <w:r>
        <w:rPr>
          <w:rFonts w:ascii="Bookman Old Style" w:hAnsi="Bookman Old Style"/>
          <w:sz w:val="28"/>
          <w:szCs w:val="28"/>
        </w:rPr>
        <w:t>Rostex</w:t>
      </w:r>
      <w:proofErr w:type="spellEnd"/>
      <w:r w:rsidRPr="00115AC7">
        <w:rPr>
          <w:rFonts w:ascii="Bookman Old Style" w:hAnsi="Bookman Old Style"/>
          <w:sz w:val="28"/>
          <w:szCs w:val="28"/>
          <w:lang w:val="el-GR"/>
        </w:rPr>
        <w:t xml:space="preserve"> </w:t>
      </w:r>
      <w:r>
        <w:rPr>
          <w:rFonts w:ascii="Bookman Old Style" w:hAnsi="Bookman Old Style"/>
          <w:sz w:val="28"/>
          <w:szCs w:val="28"/>
          <w:lang w:val="el-GR"/>
        </w:rPr>
        <w:t xml:space="preserve">καταχώρισε ένσταση στη βάση του ότι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δεν έχει εκκαθαρισμένη απαίτηση εφόσον δεν </w:t>
      </w:r>
      <w:r w:rsidR="00DB0BD8">
        <w:rPr>
          <w:rFonts w:ascii="Bookman Old Style" w:hAnsi="Bookman Old Style"/>
          <w:sz w:val="28"/>
          <w:szCs w:val="28"/>
          <w:lang w:val="el-GR"/>
        </w:rPr>
        <w:t xml:space="preserve">είχε εγγράψει </w:t>
      </w:r>
      <w:r>
        <w:rPr>
          <w:rFonts w:ascii="Bookman Old Style" w:hAnsi="Bookman Old Style"/>
          <w:sz w:val="28"/>
          <w:szCs w:val="28"/>
          <w:lang w:val="el-GR"/>
        </w:rPr>
        <w:t xml:space="preserve">τη διαιτητική απόφαση στην Κύπρο και ότι δεν κατέδειξε πως είναι αφερέγγυα και ανίκανη να πληρώσει το χρέος της. </w:t>
      </w:r>
    </w:p>
    <w:p w14:paraId="3F559D96" w14:textId="07DF621C" w:rsidR="00115AC7" w:rsidRPr="00CA570B" w:rsidRDefault="00115AC7" w:rsidP="004B08EA">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Το πρωτόδικο Δικαστήριο κατέληξε πως η απαίτηση πληρωμής </w:t>
      </w:r>
      <w:r w:rsidR="00CA570B">
        <w:rPr>
          <w:rFonts w:ascii="Bookman Old Style" w:hAnsi="Bookman Old Style"/>
          <w:sz w:val="28"/>
          <w:szCs w:val="28"/>
          <w:lang w:val="el-GR"/>
        </w:rPr>
        <w:t>δεν αφορούσε την οφειλή δυνάμει της συμφωνίας δανείου</w:t>
      </w:r>
      <w:r w:rsidR="00DB0BD8">
        <w:rPr>
          <w:rFonts w:ascii="Bookman Old Style" w:hAnsi="Bookman Old Style"/>
          <w:sz w:val="28"/>
          <w:szCs w:val="28"/>
          <w:lang w:val="el-GR"/>
        </w:rPr>
        <w:t>,</w:t>
      </w:r>
      <w:r w:rsidR="00CA570B">
        <w:rPr>
          <w:rFonts w:ascii="Bookman Old Style" w:hAnsi="Bookman Old Style"/>
          <w:sz w:val="28"/>
          <w:szCs w:val="28"/>
          <w:lang w:val="el-GR"/>
        </w:rPr>
        <w:t xml:space="preserve"> αλλά στηριζόταν αποκλειστικά στη διαιτητική απόφαση</w:t>
      </w:r>
      <w:r w:rsidR="001C20E7">
        <w:rPr>
          <w:rFonts w:ascii="Bookman Old Style" w:hAnsi="Bookman Old Style"/>
          <w:sz w:val="28"/>
          <w:szCs w:val="28"/>
          <w:lang w:val="el-GR"/>
        </w:rPr>
        <w:t xml:space="preserve">. Υιοθετώντας </w:t>
      </w:r>
      <w:r w:rsidR="00CA570B">
        <w:rPr>
          <w:rFonts w:ascii="Bookman Old Style" w:hAnsi="Bookman Old Style"/>
          <w:sz w:val="28"/>
          <w:szCs w:val="28"/>
          <w:lang w:val="el-GR"/>
        </w:rPr>
        <w:t xml:space="preserve">την απόφαση στην υπόθεση </w:t>
      </w:r>
      <w:r w:rsidR="00CA570B" w:rsidRPr="00E071C7">
        <w:rPr>
          <w:rFonts w:ascii="Bookman Old Style" w:hAnsi="Bookman Old Style"/>
          <w:b/>
          <w:bCs/>
          <w:i/>
          <w:iCs/>
          <w:sz w:val="28"/>
          <w:szCs w:val="28"/>
          <w:lang w:val="el-GR"/>
        </w:rPr>
        <w:t>«</w:t>
      </w:r>
      <w:proofErr w:type="spellStart"/>
      <w:r w:rsidR="00CA570B" w:rsidRPr="00E071C7">
        <w:rPr>
          <w:rFonts w:ascii="Bookman Old Style" w:hAnsi="Bookman Old Style"/>
          <w:b/>
          <w:bCs/>
          <w:i/>
          <w:iCs/>
          <w:sz w:val="28"/>
          <w:szCs w:val="28"/>
        </w:rPr>
        <w:t>Uralmetprom</w:t>
      </w:r>
      <w:proofErr w:type="spellEnd"/>
      <w:r w:rsidR="00CA570B" w:rsidRPr="00E071C7">
        <w:rPr>
          <w:rFonts w:ascii="Bookman Old Style" w:hAnsi="Bookman Old Style"/>
          <w:b/>
          <w:bCs/>
          <w:i/>
          <w:iCs/>
          <w:sz w:val="28"/>
          <w:szCs w:val="28"/>
          <w:lang w:val="el-GR"/>
        </w:rPr>
        <w:t xml:space="preserve">» </w:t>
      </w:r>
      <w:r w:rsidR="00CA570B" w:rsidRPr="00E071C7">
        <w:rPr>
          <w:rFonts w:ascii="Bookman Old Style" w:hAnsi="Bookman Old Style"/>
          <w:b/>
          <w:bCs/>
          <w:i/>
          <w:iCs/>
          <w:sz w:val="28"/>
          <w:szCs w:val="28"/>
        </w:rPr>
        <w:t>Interdepartmental</w:t>
      </w:r>
      <w:r w:rsidR="00CA570B" w:rsidRPr="00E071C7">
        <w:rPr>
          <w:rFonts w:ascii="Bookman Old Style" w:hAnsi="Bookman Old Style"/>
          <w:b/>
          <w:bCs/>
          <w:i/>
          <w:iCs/>
          <w:sz w:val="28"/>
          <w:szCs w:val="28"/>
          <w:lang w:val="el-GR"/>
        </w:rPr>
        <w:t xml:space="preserve"> </w:t>
      </w:r>
      <w:proofErr w:type="spellStart"/>
      <w:r w:rsidR="00CA570B" w:rsidRPr="00E071C7">
        <w:rPr>
          <w:rFonts w:ascii="Bookman Old Style" w:hAnsi="Bookman Old Style"/>
          <w:b/>
          <w:bCs/>
          <w:i/>
          <w:iCs/>
          <w:sz w:val="28"/>
          <w:szCs w:val="28"/>
          <w:lang w:val="el-GR"/>
        </w:rPr>
        <w:t>Concern</w:t>
      </w:r>
      <w:proofErr w:type="spellEnd"/>
      <w:r w:rsidR="00CA570B" w:rsidRPr="00E071C7">
        <w:rPr>
          <w:rFonts w:ascii="Bookman Old Style" w:hAnsi="Bookman Old Style"/>
          <w:b/>
          <w:bCs/>
          <w:i/>
          <w:iCs/>
          <w:sz w:val="28"/>
          <w:szCs w:val="28"/>
          <w:lang w:val="el-GR"/>
        </w:rPr>
        <w:t xml:space="preserve"> </w:t>
      </w:r>
      <w:proofErr w:type="spellStart"/>
      <w:r w:rsidR="00CA570B" w:rsidRPr="00E071C7">
        <w:rPr>
          <w:rFonts w:ascii="Bookman Old Style" w:hAnsi="Bookman Old Style"/>
          <w:b/>
          <w:bCs/>
          <w:i/>
          <w:iCs/>
          <w:sz w:val="28"/>
          <w:szCs w:val="28"/>
          <w:lang w:val="el-GR"/>
        </w:rPr>
        <w:t>Oao</w:t>
      </w:r>
      <w:proofErr w:type="spellEnd"/>
      <w:r w:rsidR="00CA570B" w:rsidRPr="00E071C7">
        <w:rPr>
          <w:rFonts w:ascii="Bookman Old Style" w:hAnsi="Bookman Old Style"/>
          <w:b/>
          <w:bCs/>
          <w:i/>
          <w:iCs/>
          <w:sz w:val="28"/>
          <w:szCs w:val="28"/>
          <w:lang w:val="el-GR"/>
        </w:rPr>
        <w:t xml:space="preserve"> </w:t>
      </w:r>
      <w:proofErr w:type="spellStart"/>
      <w:r w:rsidR="00CA570B" w:rsidRPr="00E071C7">
        <w:rPr>
          <w:rFonts w:ascii="Bookman Old Style" w:hAnsi="Bookman Old Style"/>
          <w:b/>
          <w:bCs/>
          <w:i/>
          <w:iCs/>
          <w:sz w:val="28"/>
          <w:szCs w:val="28"/>
          <w:lang w:val="el-GR"/>
        </w:rPr>
        <w:t>UralMetprom</w:t>
      </w:r>
      <w:proofErr w:type="spellEnd"/>
      <w:r w:rsidR="00CA570B">
        <w:rPr>
          <w:rFonts w:ascii="Bookman Old Style" w:hAnsi="Bookman Old Style"/>
          <w:sz w:val="28"/>
          <w:szCs w:val="28"/>
          <w:lang w:val="el-GR"/>
        </w:rPr>
        <w:t xml:space="preserve"> </w:t>
      </w:r>
      <w:r w:rsidR="00CA570B">
        <w:rPr>
          <w:rFonts w:ascii="Bookman Old Style" w:hAnsi="Bookman Old Style"/>
          <w:b/>
          <w:bCs/>
          <w:i/>
          <w:iCs/>
          <w:sz w:val="28"/>
          <w:szCs w:val="28"/>
          <w:lang w:val="el-GR"/>
        </w:rPr>
        <w:t xml:space="preserve">v. </w:t>
      </w:r>
      <w:proofErr w:type="spellStart"/>
      <w:r w:rsidR="00CA570B" w:rsidRPr="00255DA6">
        <w:rPr>
          <w:rFonts w:ascii="Bookman Old Style" w:hAnsi="Bookman Old Style"/>
          <w:b/>
          <w:bCs/>
          <w:i/>
          <w:iCs/>
          <w:sz w:val="28"/>
          <w:szCs w:val="28"/>
        </w:rPr>
        <w:t>Besuno</w:t>
      </w:r>
      <w:proofErr w:type="spellEnd"/>
      <w:r w:rsidR="00CA570B" w:rsidRPr="00255DA6">
        <w:rPr>
          <w:rFonts w:ascii="Bookman Old Style" w:hAnsi="Bookman Old Style"/>
          <w:b/>
          <w:bCs/>
          <w:i/>
          <w:iCs/>
          <w:sz w:val="28"/>
          <w:szCs w:val="28"/>
          <w:lang w:val="el-GR"/>
        </w:rPr>
        <w:t xml:space="preserve"> </w:t>
      </w:r>
      <w:r w:rsidR="00CA570B" w:rsidRPr="00255DA6">
        <w:rPr>
          <w:rFonts w:ascii="Bookman Old Style" w:hAnsi="Bookman Old Style"/>
          <w:b/>
          <w:bCs/>
          <w:i/>
          <w:iCs/>
          <w:sz w:val="28"/>
          <w:szCs w:val="28"/>
        </w:rPr>
        <w:t>Ltd</w:t>
      </w:r>
      <w:r w:rsidR="00CA570B" w:rsidRPr="00255DA6">
        <w:rPr>
          <w:rFonts w:ascii="Bookman Old Style" w:hAnsi="Bookman Old Style"/>
          <w:b/>
          <w:bCs/>
          <w:i/>
          <w:iCs/>
          <w:sz w:val="28"/>
          <w:szCs w:val="28"/>
          <w:lang w:val="el-GR"/>
        </w:rPr>
        <w:t xml:space="preserve"> (2014) 1(Α) Α.Α.Δ. 427</w:t>
      </w:r>
      <w:r w:rsidR="00CA570B">
        <w:rPr>
          <w:rFonts w:ascii="Bookman Old Style" w:hAnsi="Bookman Old Style"/>
          <w:sz w:val="28"/>
          <w:szCs w:val="28"/>
          <w:lang w:val="el-GR"/>
        </w:rPr>
        <w:t xml:space="preserve">, κατέληξε ότι </w:t>
      </w:r>
      <w:proofErr w:type="spellStart"/>
      <w:r w:rsidR="00CA570B">
        <w:rPr>
          <w:rFonts w:ascii="Bookman Old Style" w:hAnsi="Bookman Old Style"/>
          <w:sz w:val="28"/>
          <w:szCs w:val="28"/>
          <w:lang w:val="el-GR"/>
        </w:rPr>
        <w:t>προαπαιτούμενο</w:t>
      </w:r>
      <w:proofErr w:type="spellEnd"/>
      <w:r w:rsidR="00CA570B">
        <w:rPr>
          <w:rFonts w:ascii="Bookman Old Style" w:hAnsi="Bookman Old Style"/>
          <w:sz w:val="28"/>
          <w:szCs w:val="28"/>
          <w:lang w:val="el-GR"/>
        </w:rPr>
        <w:t xml:space="preserve"> καταχώρισης αίτησης εκκαθάρισης λόγω μη συμμόρφωσης με απαίτηση για ικανοποίηση οφειλής δυνάμει αλλοδαπής διαιτητικής απόφασης είναι η αναγνώριση και εγγραφή της στην Κύπρο. </w:t>
      </w:r>
      <w:proofErr w:type="spellStart"/>
      <w:r w:rsidR="00CA570B">
        <w:rPr>
          <w:rFonts w:ascii="Bookman Old Style" w:hAnsi="Bookman Old Style"/>
          <w:sz w:val="28"/>
          <w:szCs w:val="28"/>
          <w:lang w:val="el-GR"/>
        </w:rPr>
        <w:t>Εξού</w:t>
      </w:r>
      <w:proofErr w:type="spellEnd"/>
      <w:r w:rsidR="00CA570B">
        <w:rPr>
          <w:rFonts w:ascii="Bookman Old Style" w:hAnsi="Bookman Old Style"/>
          <w:sz w:val="28"/>
          <w:szCs w:val="28"/>
          <w:lang w:val="el-GR"/>
        </w:rPr>
        <w:t xml:space="preserve"> και η αίτηση εκκαθάρισης </w:t>
      </w:r>
      <w:proofErr w:type="spellStart"/>
      <w:r w:rsidR="00CA570B">
        <w:rPr>
          <w:rFonts w:ascii="Bookman Old Style" w:hAnsi="Bookman Old Style"/>
          <w:sz w:val="28"/>
          <w:szCs w:val="28"/>
          <w:lang w:val="el-GR"/>
        </w:rPr>
        <w:t>απερρίφθη</w:t>
      </w:r>
      <w:proofErr w:type="spellEnd"/>
      <w:r w:rsidR="00CA570B">
        <w:rPr>
          <w:rFonts w:ascii="Bookman Old Style" w:hAnsi="Bookman Old Style"/>
          <w:sz w:val="28"/>
          <w:szCs w:val="28"/>
          <w:lang w:val="el-GR"/>
        </w:rPr>
        <w:t xml:space="preserve">. </w:t>
      </w:r>
    </w:p>
    <w:p w14:paraId="6D64F41C" w14:textId="2BB9C152" w:rsidR="00A47DDD" w:rsidRDefault="00A47DDD" w:rsidP="004B08EA">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Οι </w:t>
      </w:r>
      <w:r w:rsidR="00FB5194">
        <w:rPr>
          <w:rFonts w:ascii="Bookman Old Style" w:hAnsi="Bookman Old Style"/>
          <w:sz w:val="28"/>
          <w:szCs w:val="28"/>
          <w:lang w:val="el-GR"/>
        </w:rPr>
        <w:t xml:space="preserve">δύο πρώτοι </w:t>
      </w:r>
      <w:r>
        <w:rPr>
          <w:rFonts w:ascii="Bookman Old Style" w:hAnsi="Bookman Old Style"/>
          <w:sz w:val="28"/>
          <w:szCs w:val="28"/>
          <w:lang w:val="el-GR"/>
        </w:rPr>
        <w:t xml:space="preserve">λόγοι έφεσης αφορούν στο ότι το πρωτόδικο Δικαστήριο λανθασμένα ερμήνευσε την απόφαση </w:t>
      </w:r>
      <w:proofErr w:type="spellStart"/>
      <w:r w:rsidRPr="00255DA6">
        <w:rPr>
          <w:rFonts w:ascii="Bookman Old Style" w:hAnsi="Bookman Old Style"/>
          <w:b/>
          <w:bCs/>
          <w:i/>
          <w:iCs/>
          <w:sz w:val="28"/>
          <w:szCs w:val="28"/>
        </w:rPr>
        <w:t>Besuno</w:t>
      </w:r>
      <w:proofErr w:type="spellEnd"/>
      <w:r w:rsidRPr="00255DA6">
        <w:rPr>
          <w:rFonts w:ascii="Bookman Old Style" w:hAnsi="Bookman Old Style"/>
          <w:b/>
          <w:bCs/>
          <w:i/>
          <w:iCs/>
          <w:sz w:val="28"/>
          <w:szCs w:val="28"/>
          <w:lang w:val="el-GR"/>
        </w:rPr>
        <w:t xml:space="preserve"> </w:t>
      </w:r>
      <w:r w:rsidR="00E1592B">
        <w:rPr>
          <w:rFonts w:ascii="Bookman Old Style" w:hAnsi="Bookman Old Style"/>
          <w:sz w:val="28"/>
          <w:szCs w:val="28"/>
          <w:lang w:val="el-GR"/>
        </w:rPr>
        <w:t xml:space="preserve">και θεώρησε </w:t>
      </w:r>
      <w:r w:rsidR="00FB5194">
        <w:rPr>
          <w:rFonts w:ascii="Bookman Old Style" w:hAnsi="Bookman Old Style"/>
          <w:sz w:val="28"/>
          <w:szCs w:val="28"/>
          <w:lang w:val="el-GR"/>
        </w:rPr>
        <w:t xml:space="preserve">πως </w:t>
      </w:r>
      <w:proofErr w:type="spellStart"/>
      <w:r w:rsidR="00E1592B">
        <w:rPr>
          <w:rFonts w:ascii="Bookman Old Style" w:hAnsi="Bookman Old Style"/>
          <w:sz w:val="28"/>
          <w:szCs w:val="28"/>
          <w:lang w:val="el-GR"/>
        </w:rPr>
        <w:t>εφαρμόζετο</w:t>
      </w:r>
      <w:proofErr w:type="spellEnd"/>
      <w:r w:rsidR="00E1592B">
        <w:rPr>
          <w:rFonts w:ascii="Bookman Old Style" w:hAnsi="Bookman Old Style"/>
          <w:sz w:val="28"/>
          <w:szCs w:val="28"/>
          <w:lang w:val="el-GR"/>
        </w:rPr>
        <w:t xml:space="preserve"> στην υπό κρίση περίπτωση</w:t>
      </w:r>
      <w:r w:rsidR="00FB5194">
        <w:rPr>
          <w:rFonts w:ascii="Bookman Old Style" w:hAnsi="Bookman Old Style"/>
          <w:sz w:val="28"/>
          <w:szCs w:val="28"/>
          <w:lang w:val="el-GR"/>
        </w:rPr>
        <w:t xml:space="preserve"> και ότι </w:t>
      </w:r>
      <w:r w:rsidR="00E1592B">
        <w:rPr>
          <w:rFonts w:ascii="Bookman Old Style" w:hAnsi="Bookman Old Style"/>
          <w:sz w:val="28"/>
          <w:szCs w:val="28"/>
          <w:lang w:val="el-GR"/>
        </w:rPr>
        <w:t>λανθασμένα έκρινε πως η ειδοποίηση απαίτησης πληρωμής στηριζόταν στη διαιτητική απόφαση κα</w:t>
      </w:r>
      <w:r w:rsidR="00FB5194">
        <w:rPr>
          <w:rFonts w:ascii="Bookman Old Style" w:hAnsi="Bookman Old Style"/>
          <w:sz w:val="28"/>
          <w:szCs w:val="28"/>
          <w:lang w:val="el-GR"/>
        </w:rPr>
        <w:t>ι όχι στη συμφωνία δανείου. Με τον  τρίτο λόγο έφεσης</w:t>
      </w:r>
      <w:r w:rsidR="00DB0BD8">
        <w:rPr>
          <w:rFonts w:ascii="Bookman Old Style" w:hAnsi="Bookman Old Style"/>
          <w:sz w:val="28"/>
          <w:szCs w:val="28"/>
          <w:lang w:val="el-GR"/>
        </w:rPr>
        <w:t>,</w:t>
      </w:r>
      <w:r w:rsidR="00FB5194">
        <w:rPr>
          <w:rFonts w:ascii="Bookman Old Style" w:hAnsi="Bookman Old Style"/>
          <w:sz w:val="28"/>
          <w:szCs w:val="28"/>
          <w:lang w:val="el-GR"/>
        </w:rPr>
        <w:t xml:space="preserve"> ζητείται όπως το </w:t>
      </w:r>
      <w:r w:rsidR="00DC4AF3">
        <w:rPr>
          <w:rFonts w:ascii="Bookman Old Style" w:hAnsi="Bookman Old Style"/>
          <w:sz w:val="28"/>
          <w:szCs w:val="28"/>
          <w:lang w:val="el-GR"/>
        </w:rPr>
        <w:t>Α</w:t>
      </w:r>
      <w:r w:rsidR="00FB5194">
        <w:rPr>
          <w:rFonts w:ascii="Bookman Old Style" w:hAnsi="Bookman Old Style"/>
          <w:sz w:val="28"/>
          <w:szCs w:val="28"/>
          <w:lang w:val="el-GR"/>
        </w:rPr>
        <w:t xml:space="preserve">νώτατο Δικαστήριο </w:t>
      </w:r>
      <w:proofErr w:type="spellStart"/>
      <w:r w:rsidR="00FB5194">
        <w:rPr>
          <w:rFonts w:ascii="Bookman Old Style" w:hAnsi="Bookman Old Style"/>
          <w:sz w:val="28"/>
          <w:szCs w:val="28"/>
          <w:lang w:val="el-GR"/>
        </w:rPr>
        <w:t>αποστεί</w:t>
      </w:r>
      <w:proofErr w:type="spellEnd"/>
      <w:r w:rsidR="00FB5194">
        <w:rPr>
          <w:rFonts w:ascii="Bookman Old Style" w:hAnsi="Bookman Old Style"/>
          <w:sz w:val="28"/>
          <w:szCs w:val="28"/>
          <w:lang w:val="el-GR"/>
        </w:rPr>
        <w:t xml:space="preserve"> από την υπόθεση </w:t>
      </w:r>
      <w:proofErr w:type="spellStart"/>
      <w:r w:rsidR="00FB5194" w:rsidRPr="00FB5194">
        <w:rPr>
          <w:rFonts w:ascii="Bookman Old Style" w:hAnsi="Bookman Old Style"/>
          <w:b/>
          <w:bCs/>
          <w:i/>
          <w:iCs/>
          <w:sz w:val="28"/>
          <w:szCs w:val="28"/>
        </w:rPr>
        <w:t>Besuno</w:t>
      </w:r>
      <w:proofErr w:type="spellEnd"/>
      <w:r w:rsidR="00DB0BD8" w:rsidRPr="00DB0BD8">
        <w:rPr>
          <w:rFonts w:ascii="Bookman Old Style" w:hAnsi="Bookman Old Style"/>
          <w:sz w:val="28"/>
          <w:szCs w:val="28"/>
          <w:lang w:val="el-GR"/>
        </w:rPr>
        <w:t>,</w:t>
      </w:r>
      <w:r w:rsidR="00FB5194" w:rsidRPr="00FB5194">
        <w:rPr>
          <w:rFonts w:ascii="Bookman Old Style" w:hAnsi="Bookman Old Style"/>
          <w:sz w:val="28"/>
          <w:szCs w:val="28"/>
          <w:lang w:val="el-GR"/>
        </w:rPr>
        <w:t xml:space="preserve"> </w:t>
      </w:r>
      <w:r w:rsidR="00FB5194">
        <w:rPr>
          <w:rFonts w:ascii="Bookman Old Style" w:hAnsi="Bookman Old Style"/>
          <w:sz w:val="28"/>
          <w:szCs w:val="28"/>
          <w:lang w:val="el-GR"/>
        </w:rPr>
        <w:t xml:space="preserve">σε περίπτωση που ήθελε κριθεί ότι τυγχάνει εφαρμογής. </w:t>
      </w:r>
    </w:p>
    <w:p w14:paraId="74A37309" w14:textId="57246316" w:rsidR="00DC4AF3" w:rsidRDefault="00C55A94" w:rsidP="004B08EA">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Κατά </w:t>
      </w:r>
      <w:r w:rsidR="006D07DA">
        <w:rPr>
          <w:rFonts w:ascii="Bookman Old Style" w:hAnsi="Bookman Old Style"/>
          <w:sz w:val="28"/>
          <w:szCs w:val="28"/>
          <w:lang w:val="el-GR"/>
        </w:rPr>
        <w:t xml:space="preserve">την πρωτόδικη διαδικασία, η Εφεσίβλητη εταιρεία εκπροσωπείτο από δικηγόρο και είχε καταχωρίσει ένσταση στην αίτηση εκκαθάρισης, ενώ στα πλαίσια της Έφεσης υπήρξε αρχικά εμφάνιση δικηγόρου για την </w:t>
      </w:r>
      <w:r w:rsidR="006D07DA">
        <w:rPr>
          <w:rFonts w:ascii="Bookman Old Style" w:hAnsi="Bookman Old Style"/>
          <w:sz w:val="28"/>
          <w:szCs w:val="28"/>
          <w:lang w:val="el-GR"/>
        </w:rPr>
        <w:lastRenderedPageBreak/>
        <w:t xml:space="preserve">Εφεσίβλητη και ακολούθως ουδεμία εμφάνιση, ούτε και καταχώριση περιγράμματος αγόρευσης εκ μέρους της. Ως εκ τούτου η ακρόαση της Έφεσης περιορίστηκε μόνο στη βάση του περιγράμματος αγόρευσης και των όσων αναφέρθηκαν προφορικά από την πλευρά της </w:t>
      </w:r>
      <w:proofErr w:type="spellStart"/>
      <w:r w:rsidR="006D07DA">
        <w:rPr>
          <w:rFonts w:ascii="Bookman Old Style" w:hAnsi="Bookman Old Style"/>
          <w:sz w:val="28"/>
          <w:szCs w:val="28"/>
          <w:lang w:val="el-GR"/>
        </w:rPr>
        <w:t>Εφεσείουσας</w:t>
      </w:r>
      <w:proofErr w:type="spellEnd"/>
      <w:r w:rsidR="006D07DA">
        <w:rPr>
          <w:rFonts w:ascii="Bookman Old Style" w:hAnsi="Bookman Old Style"/>
          <w:sz w:val="28"/>
          <w:szCs w:val="28"/>
          <w:lang w:val="el-GR"/>
        </w:rPr>
        <w:t xml:space="preserve">. </w:t>
      </w:r>
    </w:p>
    <w:p w14:paraId="1DA33E2C" w14:textId="43B110C7" w:rsidR="006D07DA" w:rsidRDefault="00601A3D" w:rsidP="004B08EA">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αίτηση εκκαθάρισης στηριζόταν, μεταξύ άλλων, στο </w:t>
      </w:r>
      <w:r w:rsidRPr="00601A3D">
        <w:rPr>
          <w:rFonts w:ascii="Bookman Old Style" w:hAnsi="Bookman Old Style"/>
          <w:b/>
          <w:bCs/>
          <w:i/>
          <w:iCs/>
          <w:sz w:val="28"/>
          <w:szCs w:val="28"/>
          <w:lang w:val="el-GR"/>
        </w:rPr>
        <w:t xml:space="preserve">άρθρο 211(ε) </w:t>
      </w:r>
      <w:r w:rsidRPr="00601A3D">
        <w:rPr>
          <w:rFonts w:ascii="Bookman Old Style" w:hAnsi="Bookman Old Style"/>
          <w:sz w:val="28"/>
          <w:szCs w:val="28"/>
          <w:lang w:val="el-GR"/>
        </w:rPr>
        <w:t>του</w:t>
      </w:r>
      <w:r w:rsidRPr="00601A3D">
        <w:rPr>
          <w:rFonts w:ascii="Bookman Old Style" w:hAnsi="Bookman Old Style"/>
          <w:b/>
          <w:bCs/>
          <w:i/>
          <w:iCs/>
          <w:sz w:val="28"/>
          <w:szCs w:val="28"/>
          <w:lang w:val="el-GR"/>
        </w:rPr>
        <w:t xml:space="preserve"> περί Εταιρειών Νόμου, Κεφ. 113</w:t>
      </w:r>
      <w:r>
        <w:rPr>
          <w:rFonts w:ascii="Bookman Old Style" w:hAnsi="Bookman Old Style"/>
          <w:sz w:val="28"/>
          <w:szCs w:val="28"/>
          <w:lang w:val="el-GR"/>
        </w:rPr>
        <w:t xml:space="preserve">, σύμφωνα με το οποίο εταιρεία δύναται να εκκαθαριστεί από το Δικαστήριο </w:t>
      </w:r>
      <w:r w:rsidR="0058497E">
        <w:rPr>
          <w:rFonts w:ascii="Bookman Old Style" w:hAnsi="Bookman Old Style"/>
          <w:sz w:val="28"/>
          <w:szCs w:val="28"/>
          <w:lang w:val="el-GR"/>
        </w:rPr>
        <w:t>εά</w:t>
      </w:r>
      <w:r>
        <w:rPr>
          <w:rFonts w:ascii="Bookman Old Style" w:hAnsi="Bookman Old Style"/>
          <w:sz w:val="28"/>
          <w:szCs w:val="28"/>
          <w:lang w:val="el-GR"/>
        </w:rPr>
        <w:t xml:space="preserve">ν είναι ανίκανη να πληρώνει τα χρέη της. Το </w:t>
      </w:r>
      <w:r w:rsidRPr="00601A3D">
        <w:rPr>
          <w:rFonts w:ascii="Bookman Old Style" w:hAnsi="Bookman Old Style"/>
          <w:b/>
          <w:bCs/>
          <w:i/>
          <w:iCs/>
          <w:sz w:val="28"/>
          <w:szCs w:val="28"/>
          <w:lang w:val="el-GR"/>
        </w:rPr>
        <w:t>άρθρο 212</w:t>
      </w:r>
      <w:r>
        <w:rPr>
          <w:rFonts w:ascii="Bookman Old Style" w:hAnsi="Bookman Old Style"/>
          <w:sz w:val="28"/>
          <w:szCs w:val="28"/>
          <w:lang w:val="el-GR"/>
        </w:rPr>
        <w:t xml:space="preserve"> του </w:t>
      </w:r>
      <w:r w:rsidRPr="00601A3D">
        <w:rPr>
          <w:rFonts w:ascii="Bookman Old Style" w:hAnsi="Bookman Old Style"/>
          <w:b/>
          <w:bCs/>
          <w:i/>
          <w:iCs/>
          <w:sz w:val="28"/>
          <w:szCs w:val="28"/>
          <w:lang w:val="el-GR"/>
        </w:rPr>
        <w:t>Κεφ. 113</w:t>
      </w:r>
      <w:r>
        <w:rPr>
          <w:rFonts w:ascii="Bookman Old Style" w:hAnsi="Bookman Old Style"/>
          <w:sz w:val="28"/>
          <w:szCs w:val="28"/>
          <w:lang w:val="el-GR"/>
        </w:rPr>
        <w:t xml:space="preserve"> </w:t>
      </w:r>
      <w:r w:rsidR="00155040">
        <w:rPr>
          <w:rFonts w:ascii="Bookman Old Style" w:hAnsi="Bookman Old Style"/>
          <w:sz w:val="28"/>
          <w:szCs w:val="28"/>
          <w:lang w:val="el-GR"/>
        </w:rPr>
        <w:t xml:space="preserve">απαριθμεί </w:t>
      </w:r>
      <w:r>
        <w:rPr>
          <w:rFonts w:ascii="Bookman Old Style" w:hAnsi="Bookman Old Style"/>
          <w:sz w:val="28"/>
          <w:szCs w:val="28"/>
          <w:lang w:val="el-GR"/>
        </w:rPr>
        <w:t xml:space="preserve">τις περιπτώσεις στις οποίες εταιρεία λογίζεται ως τέτοια. Η αίτηση στηριζόταν στα εδάφια </w:t>
      </w:r>
      <w:r w:rsidRPr="00601A3D">
        <w:rPr>
          <w:rFonts w:ascii="Bookman Old Style" w:hAnsi="Bookman Old Style"/>
          <w:b/>
          <w:bCs/>
          <w:i/>
          <w:iCs/>
          <w:sz w:val="28"/>
          <w:szCs w:val="28"/>
          <w:lang w:val="el-GR"/>
        </w:rPr>
        <w:t>(α)</w:t>
      </w:r>
      <w:r>
        <w:rPr>
          <w:rFonts w:ascii="Bookman Old Style" w:hAnsi="Bookman Old Style"/>
          <w:sz w:val="28"/>
          <w:szCs w:val="28"/>
          <w:lang w:val="el-GR"/>
        </w:rPr>
        <w:t xml:space="preserve"> και </w:t>
      </w:r>
      <w:r w:rsidRPr="00601A3D">
        <w:rPr>
          <w:rFonts w:ascii="Bookman Old Style" w:hAnsi="Bookman Old Style"/>
          <w:b/>
          <w:bCs/>
          <w:i/>
          <w:iCs/>
          <w:sz w:val="28"/>
          <w:szCs w:val="28"/>
          <w:lang w:val="el-GR"/>
        </w:rPr>
        <w:t>(γ)</w:t>
      </w:r>
      <w:r>
        <w:rPr>
          <w:rFonts w:ascii="Bookman Old Style" w:hAnsi="Bookman Old Style"/>
          <w:sz w:val="28"/>
          <w:szCs w:val="28"/>
          <w:lang w:val="el-GR"/>
        </w:rPr>
        <w:t xml:space="preserve"> του </w:t>
      </w:r>
      <w:r w:rsidRPr="00601A3D">
        <w:rPr>
          <w:rFonts w:ascii="Bookman Old Style" w:hAnsi="Bookman Old Style"/>
          <w:b/>
          <w:bCs/>
          <w:i/>
          <w:iCs/>
          <w:sz w:val="28"/>
          <w:szCs w:val="28"/>
          <w:lang w:val="el-GR"/>
        </w:rPr>
        <w:t>άρθρου</w:t>
      </w:r>
      <w:r>
        <w:rPr>
          <w:rFonts w:ascii="Bookman Old Style" w:hAnsi="Bookman Old Style"/>
          <w:b/>
          <w:bCs/>
          <w:i/>
          <w:iCs/>
          <w:sz w:val="28"/>
          <w:szCs w:val="28"/>
          <w:lang w:val="el-GR"/>
        </w:rPr>
        <w:t xml:space="preserve"> 212</w:t>
      </w:r>
      <w:r>
        <w:rPr>
          <w:rFonts w:ascii="Bookman Old Style" w:hAnsi="Bookman Old Style"/>
          <w:sz w:val="28"/>
          <w:szCs w:val="28"/>
          <w:lang w:val="el-GR"/>
        </w:rPr>
        <w:t xml:space="preserve">, τα οποία αφορούν τις περιπτώσεις όπου ο πιστωτής επέδωσε στην εταιρεία γραπτή απαίτηση καταβολής του οφειλόμενου ποσού και η εταιρεία αμέλησε να το καταβάλει ή διευθετήσει εντός των επόμενων τριών εβδομάδων και όπου αποδειχθεί, προς ικανοποίηση του Δικαστηρίου, ότι η εταιρεία είναι ανίκανη να πληρώσει τα χρέη της κατά τον χρόνο που αυτά καθίστανται πληρωτέα. </w:t>
      </w:r>
    </w:p>
    <w:p w14:paraId="44006518" w14:textId="32E5B750" w:rsidR="00CC4058" w:rsidRDefault="0081791A" w:rsidP="004B08EA">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Στην ένορκη δήλωση που συνόδευε την αίτηση, </w:t>
      </w:r>
      <w:r w:rsidR="00814134">
        <w:rPr>
          <w:rFonts w:ascii="Bookman Old Style" w:hAnsi="Bookman Old Style"/>
          <w:sz w:val="28"/>
          <w:szCs w:val="28"/>
          <w:lang w:val="el-GR"/>
        </w:rPr>
        <w:t xml:space="preserve">γινόταν αναφορά στη μη συμμόρφωση της Εφεσίβλητης στη γραπτή απαίτηση της </w:t>
      </w:r>
      <w:proofErr w:type="spellStart"/>
      <w:r w:rsidR="00814134">
        <w:rPr>
          <w:rFonts w:ascii="Bookman Old Style" w:hAnsi="Bookman Old Style"/>
          <w:sz w:val="28"/>
          <w:szCs w:val="28"/>
          <w:lang w:val="el-GR"/>
        </w:rPr>
        <w:t>Εφεσείουσας</w:t>
      </w:r>
      <w:proofErr w:type="spellEnd"/>
      <w:r w:rsidR="00814134">
        <w:rPr>
          <w:rFonts w:ascii="Bookman Old Style" w:hAnsi="Bookman Old Style"/>
          <w:sz w:val="28"/>
          <w:szCs w:val="28"/>
          <w:lang w:val="el-GR"/>
        </w:rPr>
        <w:t xml:space="preserve"> για πληρωμή</w:t>
      </w:r>
      <w:r w:rsidR="00880067">
        <w:rPr>
          <w:rFonts w:ascii="Bookman Old Style" w:hAnsi="Bookman Old Style"/>
          <w:sz w:val="28"/>
          <w:szCs w:val="28"/>
          <w:lang w:val="el-GR"/>
        </w:rPr>
        <w:t>, η οποία</w:t>
      </w:r>
      <w:r w:rsidR="00814134">
        <w:rPr>
          <w:rFonts w:ascii="Bookman Old Style" w:hAnsi="Bookman Old Style"/>
          <w:sz w:val="28"/>
          <w:szCs w:val="28"/>
          <w:lang w:val="el-GR"/>
        </w:rPr>
        <w:t xml:space="preserve"> προέκυψε από δάνειο το οποίο δόθηκε δυνάμει γραπτής συμφωνίας την οποία είχε αθετήσει η Εφεσίβλητη. Γινόταν επίσης </w:t>
      </w:r>
      <w:r w:rsidR="00814134">
        <w:rPr>
          <w:rFonts w:ascii="Bookman Old Style" w:hAnsi="Bookman Old Style"/>
          <w:sz w:val="28"/>
          <w:szCs w:val="28"/>
          <w:lang w:val="el-GR"/>
        </w:rPr>
        <w:lastRenderedPageBreak/>
        <w:t>αναφορά στη διαδικασία διαιτησίας, στα πλαίσια της οποίας εκδόθηκε εναντίον της Εφεσίβλητης διαιτητική απόφαση από το Διεθνές Διαιτητικό Δικαστήριο του Λονδίνου</w:t>
      </w:r>
      <w:r w:rsidR="00293AC3">
        <w:rPr>
          <w:rFonts w:ascii="Bookman Old Style" w:hAnsi="Bookman Old Style"/>
          <w:sz w:val="28"/>
          <w:szCs w:val="28"/>
          <w:lang w:val="el-GR"/>
        </w:rPr>
        <w:t xml:space="preserve"> και στην αδυναμία εκτέλεσης της στη Ρωσία λόγω της κατ’ ισχυρισμό αποξένωσης από την εταιρεία των περιουσιακών της στοιχείων, καθ’ ον χρόνο βρισκόταν σε ισχύ προσωρινό διάταγμα </w:t>
      </w:r>
      <w:r w:rsidR="00D612C6">
        <w:rPr>
          <w:rFonts w:ascii="Bookman Old Style" w:hAnsi="Bookman Old Style"/>
          <w:sz w:val="28"/>
          <w:szCs w:val="28"/>
          <w:lang w:val="el-GR"/>
        </w:rPr>
        <w:t xml:space="preserve">δέσμευσης αυτών </w:t>
      </w:r>
      <w:r w:rsidR="00293AC3">
        <w:rPr>
          <w:rFonts w:ascii="Bookman Old Style" w:hAnsi="Bookman Old Style"/>
          <w:sz w:val="28"/>
          <w:szCs w:val="28"/>
          <w:lang w:val="el-GR"/>
        </w:rPr>
        <w:t xml:space="preserve">στα πλαίσια δικαστικής διαδικασίας </w:t>
      </w:r>
      <w:r w:rsidR="0021062B">
        <w:rPr>
          <w:rFonts w:ascii="Bookman Old Style" w:hAnsi="Bookman Old Style"/>
          <w:sz w:val="28"/>
          <w:szCs w:val="28"/>
          <w:lang w:val="el-GR"/>
        </w:rPr>
        <w:t xml:space="preserve">εναντίον της </w:t>
      </w:r>
      <w:r w:rsidR="00293AC3">
        <w:rPr>
          <w:rFonts w:ascii="Bookman Old Style" w:hAnsi="Bookman Old Style"/>
          <w:sz w:val="28"/>
          <w:szCs w:val="28"/>
          <w:lang w:val="el-GR"/>
        </w:rPr>
        <w:t>ενώπιον του Επαρχιακού Δικαστηρίου Λεμεσού</w:t>
      </w:r>
      <w:r w:rsidR="00814134">
        <w:rPr>
          <w:rFonts w:ascii="Bookman Old Style" w:hAnsi="Bookman Old Style"/>
          <w:sz w:val="28"/>
          <w:szCs w:val="28"/>
          <w:lang w:val="el-GR"/>
        </w:rPr>
        <w:t xml:space="preserve">. </w:t>
      </w:r>
    </w:p>
    <w:p w14:paraId="7B64B9A2" w14:textId="67ABA591" w:rsidR="00814134" w:rsidRDefault="00814134" w:rsidP="004B08EA">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Στην ένσταση και την ένορκη δήλωση που τη συνόδευε, η Εφεσίβλητη ισχυρίστηκε ότι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δεν έχει εκκαθαρισμένη απαίτηση, ότι η ισχυριζόμενη διαιτητική απόφαση δεν δύναται να ληφθεί υπόψη καθότι δεν έχει αναγνωριστεί και εγγραφεί στα Κυπριακά Δικαστήρια, ότι δεν υπάρχει μαρτυρία περί αφερεγγυότητας της Εφεσίβλητης και ότι η αίτηση εκκαθάρισης είναι καταχρηστική και καταπιεστική. </w:t>
      </w:r>
    </w:p>
    <w:p w14:paraId="277F7C0F" w14:textId="4A2E85DB" w:rsidR="00601A3D" w:rsidRPr="00B11875" w:rsidRDefault="00910E80" w:rsidP="004B08EA">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Το πρωτόδικο Δικαστήριο</w:t>
      </w:r>
      <w:r w:rsidR="0081791A">
        <w:rPr>
          <w:rFonts w:ascii="Bookman Old Style" w:hAnsi="Bookman Old Style"/>
          <w:sz w:val="28"/>
          <w:szCs w:val="28"/>
          <w:lang w:val="el-GR"/>
        </w:rPr>
        <w:t xml:space="preserve"> κατέληξε ότι δεν </w:t>
      </w:r>
      <w:proofErr w:type="spellStart"/>
      <w:r w:rsidR="0081791A">
        <w:rPr>
          <w:rFonts w:ascii="Bookman Old Style" w:hAnsi="Bookman Old Style"/>
          <w:sz w:val="28"/>
          <w:szCs w:val="28"/>
          <w:lang w:val="el-GR"/>
        </w:rPr>
        <w:t>στοιχειοθ</w:t>
      </w:r>
      <w:r w:rsidR="00E3560D">
        <w:rPr>
          <w:rFonts w:ascii="Bookman Old Style" w:hAnsi="Bookman Old Style"/>
          <w:sz w:val="28"/>
          <w:szCs w:val="28"/>
          <w:lang w:val="el-GR"/>
        </w:rPr>
        <w:t>ετή</w:t>
      </w:r>
      <w:r w:rsidR="0081791A">
        <w:rPr>
          <w:rFonts w:ascii="Bookman Old Style" w:hAnsi="Bookman Old Style"/>
          <w:sz w:val="28"/>
          <w:szCs w:val="28"/>
          <w:lang w:val="el-GR"/>
        </w:rPr>
        <w:t>θηκε</w:t>
      </w:r>
      <w:proofErr w:type="spellEnd"/>
      <w:r w:rsidR="0081791A">
        <w:rPr>
          <w:rFonts w:ascii="Bookman Old Style" w:hAnsi="Bookman Old Style"/>
          <w:sz w:val="28"/>
          <w:szCs w:val="28"/>
          <w:lang w:val="el-GR"/>
        </w:rPr>
        <w:t xml:space="preserve"> οφειλή δυνάμει δανείου </w:t>
      </w:r>
      <w:r w:rsidR="00B11875">
        <w:rPr>
          <w:rFonts w:ascii="Bookman Old Style" w:hAnsi="Bookman Old Style"/>
          <w:sz w:val="28"/>
          <w:szCs w:val="28"/>
          <w:lang w:val="el-GR"/>
        </w:rPr>
        <w:t xml:space="preserve">το οποίο κατέστη πληρωτέο λόγω αθέτησης των όρων αυτού. </w:t>
      </w:r>
      <w:r w:rsidR="00F72BFD">
        <w:rPr>
          <w:rFonts w:ascii="Bookman Old Style" w:hAnsi="Bookman Old Style"/>
          <w:sz w:val="28"/>
          <w:szCs w:val="28"/>
          <w:lang w:val="en-GB"/>
        </w:rPr>
        <w:t>To</w:t>
      </w:r>
      <w:r w:rsidR="00F72BFD" w:rsidRPr="00F72BFD">
        <w:rPr>
          <w:rFonts w:ascii="Bookman Old Style" w:hAnsi="Bookman Old Style"/>
          <w:sz w:val="28"/>
          <w:szCs w:val="28"/>
          <w:lang w:val="el-GR"/>
        </w:rPr>
        <w:t xml:space="preserve"> </w:t>
      </w:r>
      <w:r w:rsidR="00E13520">
        <w:rPr>
          <w:rFonts w:ascii="Bookman Old Style" w:hAnsi="Bookman Old Style"/>
          <w:sz w:val="28"/>
          <w:szCs w:val="28"/>
          <w:lang w:val="el-GR"/>
        </w:rPr>
        <w:t xml:space="preserve">πρωτόδικο </w:t>
      </w:r>
      <w:r w:rsidR="00F72BFD">
        <w:rPr>
          <w:rFonts w:ascii="Bookman Old Style" w:hAnsi="Bookman Old Style"/>
          <w:sz w:val="28"/>
          <w:szCs w:val="28"/>
          <w:lang w:val="el-GR"/>
        </w:rPr>
        <w:t>Δικαστήριο ανέφερε πως α</w:t>
      </w:r>
      <w:r w:rsidR="00B11875">
        <w:rPr>
          <w:rFonts w:ascii="Bookman Old Style" w:hAnsi="Bookman Old Style"/>
          <w:sz w:val="28"/>
          <w:szCs w:val="28"/>
          <w:lang w:val="el-GR"/>
        </w:rPr>
        <w:t xml:space="preserve">πό τη στιγμή που εκδόθηκε απόφαση για την οφειλή, τότε η </w:t>
      </w:r>
      <w:proofErr w:type="spellStart"/>
      <w:r w:rsidR="00B11875">
        <w:rPr>
          <w:rFonts w:ascii="Bookman Old Style" w:hAnsi="Bookman Old Style"/>
          <w:sz w:val="28"/>
          <w:szCs w:val="28"/>
          <w:lang w:val="el-GR"/>
        </w:rPr>
        <w:t>Εφεσείουσα</w:t>
      </w:r>
      <w:proofErr w:type="spellEnd"/>
      <w:r w:rsidR="00B11875">
        <w:rPr>
          <w:rFonts w:ascii="Bookman Old Style" w:hAnsi="Bookman Old Style"/>
          <w:sz w:val="28"/>
          <w:szCs w:val="28"/>
          <w:lang w:val="el-GR"/>
        </w:rPr>
        <w:t xml:space="preserve"> δεν </w:t>
      </w:r>
      <w:proofErr w:type="spellStart"/>
      <w:r w:rsidR="00B11875">
        <w:rPr>
          <w:rFonts w:ascii="Bookman Old Style" w:hAnsi="Bookman Old Style"/>
          <w:sz w:val="28"/>
          <w:szCs w:val="28"/>
          <w:lang w:val="el-GR"/>
        </w:rPr>
        <w:t>δύνατ</w:t>
      </w:r>
      <w:r w:rsidR="00994DDE">
        <w:rPr>
          <w:rFonts w:ascii="Bookman Old Style" w:hAnsi="Bookman Old Style"/>
          <w:sz w:val="28"/>
          <w:szCs w:val="28"/>
          <w:lang w:val="el-GR"/>
        </w:rPr>
        <w:t>ο</w:t>
      </w:r>
      <w:proofErr w:type="spellEnd"/>
      <w:r w:rsidR="00B11875">
        <w:rPr>
          <w:rFonts w:ascii="Bookman Old Style" w:hAnsi="Bookman Old Style"/>
          <w:sz w:val="28"/>
          <w:szCs w:val="28"/>
          <w:lang w:val="el-GR"/>
        </w:rPr>
        <w:t xml:space="preserve"> να επανέρχεται στην αρχική συμφωνία. </w:t>
      </w:r>
      <w:r w:rsidR="002265DA">
        <w:rPr>
          <w:rFonts w:ascii="Bookman Old Style" w:hAnsi="Bookman Old Style"/>
          <w:sz w:val="28"/>
          <w:szCs w:val="28"/>
          <w:lang w:val="el-GR"/>
        </w:rPr>
        <w:t>Όπως αναφέρεται ανωτέρω, υ</w:t>
      </w:r>
      <w:r w:rsidR="00B11875">
        <w:rPr>
          <w:rFonts w:ascii="Bookman Old Style" w:hAnsi="Bookman Old Style"/>
          <w:sz w:val="28"/>
          <w:szCs w:val="28"/>
          <w:lang w:val="el-GR"/>
        </w:rPr>
        <w:t xml:space="preserve">ιοθετώντας την υπόθεση </w:t>
      </w:r>
      <w:proofErr w:type="spellStart"/>
      <w:r w:rsidR="00B11875" w:rsidRPr="00B11875">
        <w:rPr>
          <w:rFonts w:ascii="Bookman Old Style" w:hAnsi="Bookman Old Style"/>
          <w:b/>
          <w:bCs/>
          <w:i/>
          <w:iCs/>
          <w:sz w:val="28"/>
          <w:szCs w:val="28"/>
        </w:rPr>
        <w:t>Besuno</w:t>
      </w:r>
      <w:proofErr w:type="spellEnd"/>
      <w:r w:rsidR="004279E9">
        <w:rPr>
          <w:rFonts w:ascii="Bookman Old Style" w:hAnsi="Bookman Old Style"/>
          <w:sz w:val="28"/>
          <w:szCs w:val="28"/>
          <w:lang w:val="el-GR"/>
        </w:rPr>
        <w:t>,</w:t>
      </w:r>
      <w:r w:rsidR="005101E8">
        <w:rPr>
          <w:rFonts w:ascii="Bookman Old Style" w:hAnsi="Bookman Old Style"/>
          <w:sz w:val="28"/>
          <w:szCs w:val="28"/>
          <w:lang w:val="el-GR"/>
        </w:rPr>
        <w:t xml:space="preserve"> </w:t>
      </w:r>
      <w:r w:rsidR="00E13520">
        <w:rPr>
          <w:rFonts w:ascii="Bookman Old Style" w:hAnsi="Bookman Old Style"/>
          <w:sz w:val="28"/>
          <w:szCs w:val="28"/>
          <w:lang w:val="el-GR"/>
        </w:rPr>
        <w:t>το πρωτόδικο Δικαστήριο</w:t>
      </w:r>
      <w:r w:rsidR="00B11875">
        <w:rPr>
          <w:rFonts w:ascii="Bookman Old Style" w:hAnsi="Bookman Old Style"/>
          <w:sz w:val="28"/>
          <w:szCs w:val="28"/>
          <w:lang w:val="el-GR"/>
        </w:rPr>
        <w:t xml:space="preserve"> </w:t>
      </w:r>
      <w:r w:rsidR="003B193C">
        <w:rPr>
          <w:rFonts w:ascii="Bookman Old Style" w:hAnsi="Bookman Old Style"/>
          <w:sz w:val="28"/>
          <w:szCs w:val="28"/>
          <w:lang w:val="el-GR"/>
        </w:rPr>
        <w:t>επεσήμανε ότι «</w:t>
      </w:r>
      <w:proofErr w:type="spellStart"/>
      <w:r w:rsidR="003B193C" w:rsidRPr="00F72BFD">
        <w:rPr>
          <w:rFonts w:ascii="Bookman Old Style" w:hAnsi="Bookman Old Style"/>
          <w:i/>
          <w:iCs/>
          <w:sz w:val="28"/>
          <w:szCs w:val="28"/>
          <w:lang w:val="el-GR"/>
        </w:rPr>
        <w:t>προαπαιτούμενο</w:t>
      </w:r>
      <w:proofErr w:type="spellEnd"/>
      <w:r w:rsidR="003B193C" w:rsidRPr="00F72BFD">
        <w:rPr>
          <w:rFonts w:ascii="Bookman Old Style" w:hAnsi="Bookman Old Style"/>
          <w:i/>
          <w:iCs/>
          <w:sz w:val="28"/>
          <w:szCs w:val="28"/>
          <w:lang w:val="el-GR"/>
        </w:rPr>
        <w:t xml:space="preserve"> </w:t>
      </w:r>
      <w:r w:rsidR="003B193C" w:rsidRPr="00F72BFD">
        <w:rPr>
          <w:rFonts w:ascii="Bookman Old Style" w:hAnsi="Bookman Old Style"/>
          <w:i/>
          <w:iCs/>
          <w:sz w:val="28"/>
          <w:szCs w:val="28"/>
          <w:lang w:val="el-GR"/>
        </w:rPr>
        <w:lastRenderedPageBreak/>
        <w:t xml:space="preserve">καταχώρισης αίτησης εκκαθάρισης λόγω μη συμμόρφωσης με απαίτηση </w:t>
      </w:r>
      <w:r w:rsidR="00F23B86" w:rsidRPr="00F72BFD">
        <w:rPr>
          <w:rFonts w:ascii="Bookman Old Style" w:hAnsi="Bookman Old Style"/>
          <w:i/>
          <w:iCs/>
          <w:sz w:val="28"/>
          <w:szCs w:val="28"/>
          <w:lang w:val="el-GR"/>
        </w:rPr>
        <w:t>για ικανοποίηση οφειλής δυνάμει αλλοδαπής διαιτητικής απόφασης είναι η αναγνώριση και εγγραφή της στην Κύπρο</w:t>
      </w:r>
      <w:r w:rsidR="00F23B86">
        <w:rPr>
          <w:rFonts w:ascii="Bookman Old Style" w:hAnsi="Bookman Old Style"/>
          <w:sz w:val="28"/>
          <w:szCs w:val="28"/>
          <w:lang w:val="el-GR"/>
        </w:rPr>
        <w:t xml:space="preserve">» και ότι η ειδοποίηση απαίτησης στηρίχθηκε ξεκάθαρα στη διαιτητική απόφαση. </w:t>
      </w:r>
    </w:p>
    <w:p w14:paraId="30902F87" w14:textId="2234AEF2" w:rsidR="00F556EC" w:rsidRDefault="00C54F2A" w:rsidP="004B08EA">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εξέταση του πρώτου λόγου έφεσης απαιτεί την </w:t>
      </w:r>
      <w:r w:rsidR="00860948">
        <w:rPr>
          <w:rFonts w:ascii="Bookman Old Style" w:hAnsi="Bookman Old Style"/>
          <w:sz w:val="28"/>
          <w:szCs w:val="28"/>
          <w:lang w:val="el-GR"/>
        </w:rPr>
        <w:t xml:space="preserve">κατανόηση </w:t>
      </w:r>
      <w:r>
        <w:rPr>
          <w:rFonts w:ascii="Bookman Old Style" w:hAnsi="Bookman Old Style"/>
          <w:sz w:val="28"/>
          <w:szCs w:val="28"/>
          <w:lang w:val="el-GR"/>
        </w:rPr>
        <w:t xml:space="preserve">της απόφασης στην υπόθεση </w:t>
      </w:r>
      <w:proofErr w:type="spellStart"/>
      <w:r w:rsidRPr="00C54F2A">
        <w:rPr>
          <w:rFonts w:ascii="Bookman Old Style" w:hAnsi="Bookman Old Style"/>
          <w:b/>
          <w:bCs/>
          <w:i/>
          <w:iCs/>
          <w:sz w:val="28"/>
          <w:szCs w:val="28"/>
          <w:lang w:val="en-GB"/>
        </w:rPr>
        <w:t>Besuno</w:t>
      </w:r>
      <w:proofErr w:type="spellEnd"/>
      <w:r w:rsidR="007A32B3">
        <w:rPr>
          <w:rFonts w:ascii="Bookman Old Style" w:hAnsi="Bookman Old Style"/>
          <w:sz w:val="28"/>
          <w:szCs w:val="28"/>
          <w:lang w:val="el-GR"/>
        </w:rPr>
        <w:t>.</w:t>
      </w:r>
      <w:r>
        <w:rPr>
          <w:rFonts w:ascii="Bookman Old Style" w:hAnsi="Bookman Old Style"/>
          <w:sz w:val="28"/>
          <w:szCs w:val="28"/>
          <w:lang w:val="el-GR"/>
        </w:rPr>
        <w:t xml:space="preserve"> </w:t>
      </w:r>
      <w:r w:rsidR="007A32B3">
        <w:rPr>
          <w:rFonts w:ascii="Bookman Old Style" w:hAnsi="Bookman Old Style"/>
          <w:sz w:val="28"/>
          <w:szCs w:val="28"/>
          <w:lang w:val="el-GR"/>
        </w:rPr>
        <w:t xml:space="preserve">Το πρωτόδικο Δικαστήριο παρέθεσε αυτούσιο το μεγαλύτερο μέρος του σκεπτικού της εν λόγω απόφασης για να προβεί στην ανωτέρω κατάληξη του. </w:t>
      </w:r>
      <w:r w:rsidR="00860948">
        <w:rPr>
          <w:rFonts w:ascii="Bookman Old Style" w:hAnsi="Bookman Old Style"/>
          <w:sz w:val="28"/>
          <w:szCs w:val="28"/>
          <w:lang w:val="el-GR"/>
        </w:rPr>
        <w:t>Σ</w:t>
      </w:r>
      <w:r w:rsidR="007A32B3">
        <w:rPr>
          <w:rFonts w:ascii="Bookman Old Style" w:hAnsi="Bookman Old Style"/>
          <w:sz w:val="28"/>
          <w:szCs w:val="28"/>
          <w:lang w:val="el-GR"/>
        </w:rPr>
        <w:t xml:space="preserve">τη </w:t>
      </w:r>
      <w:proofErr w:type="spellStart"/>
      <w:r w:rsidR="007A32B3" w:rsidRPr="007A32B3">
        <w:rPr>
          <w:rFonts w:ascii="Bookman Old Style" w:hAnsi="Bookman Old Style"/>
          <w:b/>
          <w:bCs/>
          <w:i/>
          <w:iCs/>
          <w:sz w:val="28"/>
          <w:szCs w:val="28"/>
          <w:lang w:val="en-GB"/>
        </w:rPr>
        <w:t>Besuno</w:t>
      </w:r>
      <w:proofErr w:type="spellEnd"/>
      <w:r w:rsidR="007A32B3">
        <w:rPr>
          <w:rFonts w:ascii="Bookman Old Style" w:hAnsi="Bookman Old Style"/>
          <w:b/>
          <w:bCs/>
          <w:i/>
          <w:iCs/>
          <w:sz w:val="28"/>
          <w:szCs w:val="28"/>
          <w:lang w:val="el-GR"/>
        </w:rPr>
        <w:t xml:space="preserve"> </w:t>
      </w:r>
      <w:r w:rsidR="00860948" w:rsidRPr="00860948">
        <w:rPr>
          <w:rFonts w:ascii="Bookman Old Style" w:hAnsi="Bookman Old Style"/>
          <w:sz w:val="28"/>
          <w:szCs w:val="28"/>
          <w:lang w:val="el-GR"/>
        </w:rPr>
        <w:t>η αίτηση εξετάστηκε αποκλειστικά και μόνο με αναφορά</w:t>
      </w:r>
      <w:r w:rsidR="00860948">
        <w:rPr>
          <w:rFonts w:ascii="Bookman Old Style" w:hAnsi="Bookman Old Style"/>
          <w:b/>
          <w:bCs/>
          <w:i/>
          <w:iCs/>
          <w:sz w:val="28"/>
          <w:szCs w:val="28"/>
          <w:lang w:val="el-GR"/>
        </w:rPr>
        <w:t xml:space="preserve"> </w:t>
      </w:r>
      <w:r w:rsidR="007A32B3">
        <w:rPr>
          <w:rFonts w:ascii="Bookman Old Style" w:hAnsi="Bookman Old Style"/>
          <w:sz w:val="28"/>
          <w:szCs w:val="28"/>
          <w:lang w:val="el-GR"/>
        </w:rPr>
        <w:t xml:space="preserve">στο </w:t>
      </w:r>
      <w:r w:rsidR="007A32B3" w:rsidRPr="007A32B3">
        <w:rPr>
          <w:rFonts w:ascii="Bookman Old Style" w:hAnsi="Bookman Old Style"/>
          <w:b/>
          <w:bCs/>
          <w:i/>
          <w:iCs/>
          <w:sz w:val="28"/>
          <w:szCs w:val="28"/>
          <w:lang w:val="el-GR"/>
        </w:rPr>
        <w:t>άρθρο 212(α)</w:t>
      </w:r>
      <w:r w:rsidR="007A32B3">
        <w:rPr>
          <w:rFonts w:ascii="Bookman Old Style" w:hAnsi="Bookman Old Style"/>
          <w:sz w:val="28"/>
          <w:szCs w:val="28"/>
          <w:lang w:val="el-GR"/>
        </w:rPr>
        <w:t xml:space="preserve">. </w:t>
      </w:r>
      <w:r w:rsidR="006C1D22">
        <w:rPr>
          <w:rFonts w:ascii="Bookman Old Style" w:hAnsi="Bookman Old Style"/>
          <w:sz w:val="28"/>
          <w:szCs w:val="28"/>
          <w:lang w:val="el-GR"/>
        </w:rPr>
        <w:t xml:space="preserve">Στην εν λόγω υπόθεση, </w:t>
      </w:r>
      <w:r w:rsidR="00C24A14">
        <w:rPr>
          <w:rFonts w:ascii="Bookman Old Style" w:hAnsi="Bookman Old Style"/>
          <w:sz w:val="28"/>
          <w:szCs w:val="28"/>
          <w:lang w:val="el-GR"/>
        </w:rPr>
        <w:t xml:space="preserve">στα πλαίσια ξεχωριστής δικαστικής διαδικασίας </w:t>
      </w:r>
      <w:r w:rsidR="00B0473E">
        <w:rPr>
          <w:rFonts w:ascii="Bookman Old Style" w:hAnsi="Bookman Old Style"/>
          <w:sz w:val="28"/>
          <w:szCs w:val="28"/>
          <w:lang w:val="el-GR"/>
        </w:rPr>
        <w:t xml:space="preserve">εκδόθηκε απόφαση με την οποία </w:t>
      </w:r>
      <w:r w:rsidR="006C1D22">
        <w:rPr>
          <w:rFonts w:ascii="Bookman Old Style" w:hAnsi="Bookman Old Style"/>
          <w:sz w:val="28"/>
          <w:szCs w:val="28"/>
          <w:lang w:val="el-GR"/>
        </w:rPr>
        <w:t xml:space="preserve">δεν επετράπη η αναγνώριση, εγγραφή και εκτέλεση της </w:t>
      </w:r>
      <w:r w:rsidR="00026628">
        <w:rPr>
          <w:rFonts w:ascii="Bookman Old Style" w:hAnsi="Bookman Old Style"/>
          <w:sz w:val="28"/>
          <w:szCs w:val="28"/>
          <w:lang w:val="el-GR"/>
        </w:rPr>
        <w:t xml:space="preserve">διαιτητικής απόφασης </w:t>
      </w:r>
      <w:r w:rsidR="006C1D22">
        <w:rPr>
          <w:rFonts w:ascii="Bookman Old Style" w:hAnsi="Bookman Old Style"/>
          <w:sz w:val="28"/>
          <w:szCs w:val="28"/>
          <w:lang w:val="el-GR"/>
        </w:rPr>
        <w:t>στην Κύπρο. Στην παρούσα, όπως ορθώς αναφέρει το πρωτόδικο Δικαστήριο, δεν τέθηκε ενώπιον του τέτοια μαρτυρία</w:t>
      </w:r>
      <w:r w:rsidR="00860948">
        <w:rPr>
          <w:rFonts w:ascii="Bookman Old Style" w:hAnsi="Bookman Old Style"/>
          <w:sz w:val="28"/>
          <w:szCs w:val="28"/>
          <w:lang w:val="el-GR"/>
        </w:rPr>
        <w:t>, ότι δηλαδή είχε επιχειρηθεί η εγγραφή και αναγνώριση της στην Κύπρο</w:t>
      </w:r>
      <w:r w:rsidR="006C1D22">
        <w:rPr>
          <w:rFonts w:ascii="Bookman Old Style" w:hAnsi="Bookman Old Style"/>
          <w:sz w:val="28"/>
          <w:szCs w:val="28"/>
          <w:lang w:val="el-GR"/>
        </w:rPr>
        <w:t xml:space="preserve">. </w:t>
      </w:r>
    </w:p>
    <w:p w14:paraId="2D92F395" w14:textId="05B7206D" w:rsidR="00FB5194" w:rsidRDefault="006C1D22" w:rsidP="004B08EA">
      <w:pPr>
        <w:spacing w:before="240" w:line="480" w:lineRule="auto"/>
        <w:ind w:firstLine="567"/>
        <w:jc w:val="both"/>
        <w:rPr>
          <w:rFonts w:ascii="Bookman Old Style" w:hAnsi="Bookman Old Style"/>
          <w:color w:val="000000"/>
          <w:sz w:val="28"/>
          <w:szCs w:val="28"/>
          <w:lang w:val="el-GR"/>
        </w:rPr>
      </w:pPr>
      <w:r>
        <w:rPr>
          <w:rFonts w:ascii="Bookman Old Style" w:hAnsi="Bookman Old Style"/>
          <w:sz w:val="28"/>
          <w:szCs w:val="28"/>
          <w:lang w:val="el-GR"/>
        </w:rPr>
        <w:t xml:space="preserve">Η ειδοποίηση απαίτησης </w:t>
      </w:r>
      <w:r w:rsidR="007D1668">
        <w:rPr>
          <w:rFonts w:ascii="Bookman Old Style" w:hAnsi="Bookman Old Style"/>
          <w:sz w:val="28"/>
          <w:szCs w:val="28"/>
          <w:lang w:val="el-GR"/>
        </w:rPr>
        <w:t xml:space="preserve">στη </w:t>
      </w:r>
      <w:proofErr w:type="spellStart"/>
      <w:r w:rsidR="007D1668" w:rsidRPr="007D1668">
        <w:rPr>
          <w:rFonts w:ascii="Bookman Old Style" w:hAnsi="Bookman Old Style"/>
          <w:b/>
          <w:bCs/>
          <w:i/>
          <w:iCs/>
          <w:sz w:val="28"/>
          <w:szCs w:val="28"/>
        </w:rPr>
        <w:t>Besuno</w:t>
      </w:r>
      <w:proofErr w:type="spellEnd"/>
      <w:r w:rsidR="007D1668" w:rsidRPr="007D1668">
        <w:rPr>
          <w:rFonts w:ascii="Bookman Old Style" w:hAnsi="Bookman Old Style"/>
          <w:sz w:val="28"/>
          <w:szCs w:val="28"/>
          <w:lang w:val="el-GR"/>
        </w:rPr>
        <w:t xml:space="preserve"> </w:t>
      </w:r>
      <w:r>
        <w:rPr>
          <w:rFonts w:ascii="Bookman Old Style" w:hAnsi="Bookman Old Style"/>
          <w:sz w:val="28"/>
          <w:szCs w:val="28"/>
          <w:lang w:val="el-GR"/>
        </w:rPr>
        <w:t xml:space="preserve">αφορούσε μεν το ποσό της διαιτητικής απόφασης, αλλά </w:t>
      </w:r>
      <w:r w:rsidR="00D40DCA">
        <w:rPr>
          <w:rFonts w:ascii="Bookman Old Style" w:hAnsi="Bookman Old Style"/>
          <w:sz w:val="28"/>
          <w:szCs w:val="28"/>
          <w:lang w:val="el-GR"/>
        </w:rPr>
        <w:t xml:space="preserve">αποφασίστηκε στη βάση του </w:t>
      </w:r>
      <w:r w:rsidR="00D40DCA" w:rsidRPr="00D40DCA">
        <w:rPr>
          <w:rFonts w:ascii="Bookman Old Style" w:hAnsi="Bookman Old Style"/>
          <w:b/>
          <w:bCs/>
          <w:i/>
          <w:iCs/>
          <w:sz w:val="28"/>
          <w:szCs w:val="28"/>
          <w:lang w:val="el-GR"/>
        </w:rPr>
        <w:t>άρθρου 212(α)</w:t>
      </w:r>
      <w:r w:rsidR="00D40DCA">
        <w:rPr>
          <w:rFonts w:ascii="Bookman Old Style" w:hAnsi="Bookman Old Style"/>
          <w:sz w:val="28"/>
          <w:szCs w:val="28"/>
          <w:lang w:val="el-GR"/>
        </w:rPr>
        <w:t xml:space="preserve">, όπως άλλωστε ανέφερε ευθαρσώς </w:t>
      </w:r>
      <w:r>
        <w:rPr>
          <w:rFonts w:ascii="Bookman Old Style" w:hAnsi="Bookman Old Style"/>
          <w:sz w:val="28"/>
          <w:szCs w:val="28"/>
          <w:lang w:val="el-GR"/>
        </w:rPr>
        <w:t xml:space="preserve">το Ανώτατο Δικαστήριο </w:t>
      </w:r>
      <w:r w:rsidR="00105B52">
        <w:rPr>
          <w:rFonts w:ascii="Bookman Old Style" w:hAnsi="Bookman Old Style"/>
          <w:sz w:val="28"/>
          <w:szCs w:val="28"/>
          <w:lang w:val="el-GR"/>
        </w:rPr>
        <w:t>επικρ</w:t>
      </w:r>
      <w:r w:rsidR="00D40DCA">
        <w:rPr>
          <w:rFonts w:ascii="Bookman Old Style" w:hAnsi="Bookman Old Style"/>
          <w:sz w:val="28"/>
          <w:szCs w:val="28"/>
          <w:lang w:val="el-GR"/>
        </w:rPr>
        <w:t xml:space="preserve">οτώντας αυτή την προσέγγιση του πρωτόδικου Δικαστηρίου. </w:t>
      </w:r>
      <w:r w:rsidR="001C7CFC">
        <w:rPr>
          <w:rFonts w:ascii="Bookman Old Style" w:hAnsi="Bookman Old Style"/>
          <w:sz w:val="28"/>
          <w:szCs w:val="28"/>
          <w:lang w:val="el-GR"/>
        </w:rPr>
        <w:t xml:space="preserve">Το Ανώτατο Δικαστήριο </w:t>
      </w:r>
      <w:r w:rsidR="00137F91">
        <w:rPr>
          <w:rFonts w:ascii="Bookman Old Style" w:hAnsi="Bookman Old Style"/>
          <w:sz w:val="28"/>
          <w:szCs w:val="28"/>
          <w:lang w:val="el-GR"/>
        </w:rPr>
        <w:t xml:space="preserve">συνέχισε </w:t>
      </w:r>
      <w:r w:rsidR="00692471">
        <w:rPr>
          <w:rFonts w:ascii="Bookman Old Style" w:hAnsi="Bookman Old Style"/>
          <w:sz w:val="28"/>
          <w:szCs w:val="28"/>
          <w:lang w:val="el-GR"/>
        </w:rPr>
        <w:t>πως «</w:t>
      </w:r>
      <w:r w:rsidR="00692471" w:rsidRPr="00692471">
        <w:rPr>
          <w:rFonts w:ascii="Bookman Old Style" w:hAnsi="Bookman Old Style"/>
          <w:i/>
          <w:iCs/>
          <w:sz w:val="28"/>
          <w:szCs w:val="28"/>
          <w:lang w:val="el-GR"/>
        </w:rPr>
        <w:t>Υ</w:t>
      </w:r>
      <w:r w:rsidR="00692471" w:rsidRPr="00692471">
        <w:rPr>
          <w:rFonts w:ascii="Bookman Old Style" w:hAnsi="Bookman Old Style"/>
          <w:i/>
          <w:iCs/>
          <w:color w:val="000000"/>
          <w:sz w:val="28"/>
          <w:szCs w:val="28"/>
          <w:lang w:val="el-GR"/>
        </w:rPr>
        <w:t xml:space="preserve">πό το πρίσμα αυτό, προβάλλει ως μόνο θέμα για εξέταση, κατά </w:t>
      </w:r>
      <w:r w:rsidR="00692471" w:rsidRPr="00692471">
        <w:rPr>
          <w:rFonts w:ascii="Bookman Old Style" w:hAnsi="Bookman Old Style"/>
          <w:i/>
          <w:iCs/>
          <w:color w:val="000000"/>
          <w:sz w:val="28"/>
          <w:szCs w:val="28"/>
          <w:lang w:val="el-GR"/>
        </w:rPr>
        <w:lastRenderedPageBreak/>
        <w:t>πόσο η διαιτητική απόφαση θα μπορούσε να αποτελέσει επαρκές υπόβαθρο προς πλήρωση των προϋποθέσεων επιτυχίας αίτησης εκκαθάρισης, κατ’ ακολουθία των προϋποθέσεων του Άρθρου 212</w:t>
      </w:r>
      <w:r w:rsidR="00692471">
        <w:rPr>
          <w:rFonts w:ascii="Bookman Old Style" w:hAnsi="Bookman Old Style"/>
          <w:color w:val="000000"/>
          <w:sz w:val="28"/>
          <w:szCs w:val="28"/>
          <w:lang w:val="el-GR"/>
        </w:rPr>
        <w:t>»</w:t>
      </w:r>
      <w:r w:rsidR="00692471" w:rsidRPr="00692471">
        <w:rPr>
          <w:rFonts w:ascii="Bookman Old Style" w:hAnsi="Bookman Old Style"/>
          <w:color w:val="000000"/>
          <w:sz w:val="28"/>
          <w:szCs w:val="28"/>
          <w:lang w:val="el-GR"/>
        </w:rPr>
        <w:t>.</w:t>
      </w:r>
      <w:r w:rsidR="00225D8E">
        <w:rPr>
          <w:rFonts w:ascii="Bookman Old Style" w:hAnsi="Bookman Old Style"/>
          <w:color w:val="000000"/>
          <w:sz w:val="28"/>
          <w:szCs w:val="28"/>
          <w:lang w:val="el-GR"/>
        </w:rPr>
        <w:t xml:space="preserve"> Προφανώς είναι σε αυτή την αναφορά που εστιάζεται η </w:t>
      </w:r>
      <w:r w:rsidR="00DD6869">
        <w:rPr>
          <w:rFonts w:ascii="Bookman Old Style" w:hAnsi="Bookman Old Style"/>
          <w:color w:val="000000"/>
          <w:sz w:val="28"/>
          <w:szCs w:val="28"/>
          <w:lang w:val="el-GR"/>
        </w:rPr>
        <w:t xml:space="preserve">επιχειρηματολογία </w:t>
      </w:r>
      <w:r w:rsidR="00225D8E">
        <w:rPr>
          <w:rFonts w:ascii="Bookman Old Style" w:hAnsi="Bookman Old Style"/>
          <w:color w:val="000000"/>
          <w:sz w:val="28"/>
          <w:szCs w:val="28"/>
          <w:lang w:val="el-GR"/>
        </w:rPr>
        <w:t xml:space="preserve">της </w:t>
      </w:r>
      <w:proofErr w:type="spellStart"/>
      <w:r w:rsidR="00225D8E">
        <w:rPr>
          <w:rFonts w:ascii="Bookman Old Style" w:hAnsi="Bookman Old Style"/>
          <w:color w:val="000000"/>
          <w:sz w:val="28"/>
          <w:szCs w:val="28"/>
          <w:lang w:val="el-GR"/>
        </w:rPr>
        <w:t>Εφεσείουσας</w:t>
      </w:r>
      <w:proofErr w:type="spellEnd"/>
      <w:r w:rsidR="00225D8E">
        <w:rPr>
          <w:rFonts w:ascii="Bookman Old Style" w:hAnsi="Bookman Old Style"/>
          <w:color w:val="000000"/>
          <w:sz w:val="28"/>
          <w:szCs w:val="28"/>
          <w:lang w:val="el-GR"/>
        </w:rPr>
        <w:t xml:space="preserve"> για διαφοροποίηση της εν λόγω υπόθεσης από την παρούσα </w:t>
      </w:r>
      <w:r w:rsidR="00374C4B">
        <w:rPr>
          <w:rFonts w:ascii="Bookman Old Style" w:hAnsi="Bookman Old Style"/>
          <w:color w:val="000000"/>
          <w:sz w:val="28"/>
          <w:szCs w:val="28"/>
          <w:lang w:val="el-GR"/>
        </w:rPr>
        <w:t xml:space="preserve">στη βάση </w:t>
      </w:r>
      <w:r w:rsidR="00FB73F5">
        <w:rPr>
          <w:rFonts w:ascii="Bookman Old Style" w:hAnsi="Bookman Old Style"/>
          <w:color w:val="000000"/>
          <w:sz w:val="28"/>
          <w:szCs w:val="28"/>
          <w:lang w:val="el-GR"/>
        </w:rPr>
        <w:t>της θέσης της</w:t>
      </w:r>
      <w:r w:rsidR="00374C4B">
        <w:rPr>
          <w:rFonts w:ascii="Bookman Old Style" w:hAnsi="Bookman Old Style"/>
          <w:color w:val="000000"/>
          <w:sz w:val="28"/>
          <w:szCs w:val="28"/>
          <w:lang w:val="el-GR"/>
        </w:rPr>
        <w:t xml:space="preserve"> ότι </w:t>
      </w:r>
      <w:r w:rsidR="00137F91">
        <w:rPr>
          <w:rFonts w:ascii="Bookman Old Style" w:hAnsi="Bookman Old Style"/>
          <w:color w:val="000000"/>
          <w:sz w:val="28"/>
          <w:szCs w:val="28"/>
          <w:lang w:val="el-GR"/>
        </w:rPr>
        <w:t xml:space="preserve">εδώ </w:t>
      </w:r>
      <w:r w:rsidR="00225D8E">
        <w:rPr>
          <w:rFonts w:ascii="Bookman Old Style" w:hAnsi="Bookman Old Style"/>
          <w:color w:val="000000"/>
          <w:sz w:val="28"/>
          <w:szCs w:val="28"/>
          <w:lang w:val="el-GR"/>
        </w:rPr>
        <w:t>η οφειλή</w:t>
      </w:r>
      <w:r w:rsidR="00745AB6">
        <w:rPr>
          <w:rFonts w:ascii="Bookman Old Style" w:hAnsi="Bookman Old Style"/>
          <w:color w:val="000000"/>
          <w:sz w:val="28"/>
          <w:szCs w:val="28"/>
          <w:lang w:val="el-GR"/>
        </w:rPr>
        <w:t>,</w:t>
      </w:r>
      <w:r w:rsidR="00225D8E">
        <w:rPr>
          <w:rFonts w:ascii="Bookman Old Style" w:hAnsi="Bookman Old Style"/>
          <w:color w:val="000000"/>
          <w:sz w:val="28"/>
          <w:szCs w:val="28"/>
          <w:lang w:val="el-GR"/>
        </w:rPr>
        <w:t xml:space="preserve"> και η συνακόλουθη απαίτηση πληρωμής</w:t>
      </w:r>
      <w:r w:rsidR="00745AB6">
        <w:rPr>
          <w:rFonts w:ascii="Bookman Old Style" w:hAnsi="Bookman Old Style"/>
          <w:color w:val="000000"/>
          <w:sz w:val="28"/>
          <w:szCs w:val="28"/>
          <w:lang w:val="el-GR"/>
        </w:rPr>
        <w:t>,</w:t>
      </w:r>
      <w:r w:rsidR="00225D8E">
        <w:rPr>
          <w:rFonts w:ascii="Bookman Old Style" w:hAnsi="Bookman Old Style"/>
          <w:color w:val="000000"/>
          <w:sz w:val="28"/>
          <w:szCs w:val="28"/>
          <w:lang w:val="el-GR"/>
        </w:rPr>
        <w:t xml:space="preserve"> δεν βασίζοντα</w:t>
      </w:r>
      <w:r w:rsidR="00137F91">
        <w:rPr>
          <w:rFonts w:ascii="Bookman Old Style" w:hAnsi="Bookman Old Style"/>
          <w:color w:val="000000"/>
          <w:sz w:val="28"/>
          <w:szCs w:val="28"/>
          <w:lang w:val="el-GR"/>
        </w:rPr>
        <w:t>ν</w:t>
      </w:r>
      <w:r w:rsidR="00225D8E">
        <w:rPr>
          <w:rFonts w:ascii="Bookman Old Style" w:hAnsi="Bookman Old Style"/>
          <w:color w:val="000000"/>
          <w:sz w:val="28"/>
          <w:szCs w:val="28"/>
          <w:lang w:val="el-GR"/>
        </w:rPr>
        <w:t xml:space="preserve"> στη διαιτητική απόφαση αλλά στη συμφωνία δανείου. </w:t>
      </w:r>
    </w:p>
    <w:p w14:paraId="17B11AED" w14:textId="63C8B7CE" w:rsidR="00C859F0" w:rsidRDefault="002F0065" w:rsidP="004B08EA">
      <w:pPr>
        <w:spacing w:before="24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Στην προκειμένη περίπτωση</w:t>
      </w:r>
      <w:r w:rsidR="00781FC6">
        <w:rPr>
          <w:rFonts w:ascii="Bookman Old Style" w:hAnsi="Bookman Old Style"/>
          <w:color w:val="000000"/>
          <w:sz w:val="28"/>
          <w:szCs w:val="28"/>
          <w:lang w:val="el-GR"/>
        </w:rPr>
        <w:t>, η απαίτηση πληρωμής</w:t>
      </w:r>
      <w:r w:rsidR="00035823">
        <w:rPr>
          <w:rFonts w:ascii="Bookman Old Style" w:hAnsi="Bookman Old Style"/>
          <w:color w:val="000000"/>
          <w:sz w:val="28"/>
          <w:szCs w:val="28"/>
          <w:lang w:val="el-GR"/>
        </w:rPr>
        <w:t xml:space="preserve"> ήταν επιστολή με θέμα </w:t>
      </w:r>
      <w:r w:rsidR="00C859F0">
        <w:rPr>
          <w:rFonts w:ascii="Bookman Old Style" w:hAnsi="Bookman Old Style"/>
          <w:color w:val="000000"/>
          <w:sz w:val="28"/>
          <w:szCs w:val="28"/>
          <w:lang w:val="el-GR"/>
        </w:rPr>
        <w:t>«</w:t>
      </w:r>
      <w:r w:rsidR="00C859F0" w:rsidRPr="00C859F0">
        <w:rPr>
          <w:rFonts w:ascii="Bookman Old Style" w:hAnsi="Bookman Old Style"/>
          <w:i/>
          <w:iCs/>
          <w:color w:val="000000"/>
          <w:sz w:val="28"/>
          <w:szCs w:val="28"/>
          <w:lang w:val="el-GR"/>
        </w:rPr>
        <w:t>Ε</w:t>
      </w:r>
      <w:r w:rsidR="00035823" w:rsidRPr="00C859F0">
        <w:rPr>
          <w:rFonts w:ascii="Bookman Old Style" w:hAnsi="Bookman Old Style"/>
          <w:i/>
          <w:iCs/>
          <w:color w:val="000000"/>
          <w:sz w:val="28"/>
          <w:szCs w:val="28"/>
          <w:lang w:val="el-GR"/>
        </w:rPr>
        <w:t xml:space="preserve">πιστολή απαίτησης </w:t>
      </w:r>
      <w:r w:rsidR="00C859F0" w:rsidRPr="00C859F0">
        <w:rPr>
          <w:rFonts w:ascii="Bookman Old Style" w:hAnsi="Bookman Old Style"/>
          <w:i/>
          <w:iCs/>
          <w:color w:val="000000"/>
          <w:sz w:val="28"/>
          <w:szCs w:val="28"/>
          <w:lang w:val="el-GR"/>
        </w:rPr>
        <w:t xml:space="preserve">βάσει </w:t>
      </w:r>
      <w:r w:rsidR="00035823" w:rsidRPr="00C859F0">
        <w:rPr>
          <w:rFonts w:ascii="Bookman Old Style" w:hAnsi="Bookman Old Style"/>
          <w:i/>
          <w:iCs/>
          <w:color w:val="000000"/>
          <w:sz w:val="28"/>
          <w:szCs w:val="28"/>
          <w:lang w:val="el-GR"/>
        </w:rPr>
        <w:t>του</w:t>
      </w:r>
      <w:r w:rsidR="00035823">
        <w:rPr>
          <w:rFonts w:ascii="Bookman Old Style" w:hAnsi="Bookman Old Style"/>
          <w:color w:val="000000"/>
          <w:sz w:val="28"/>
          <w:szCs w:val="28"/>
          <w:lang w:val="el-GR"/>
        </w:rPr>
        <w:t xml:space="preserve"> </w:t>
      </w:r>
      <w:r w:rsidR="00035823" w:rsidRPr="00C859F0">
        <w:rPr>
          <w:rFonts w:ascii="Bookman Old Style" w:hAnsi="Bookman Old Style"/>
          <w:i/>
          <w:iCs/>
          <w:color w:val="000000"/>
          <w:sz w:val="28"/>
          <w:szCs w:val="28"/>
          <w:lang w:val="el-GR"/>
        </w:rPr>
        <w:t>άρθρου 212(α) του</w:t>
      </w:r>
      <w:r w:rsidR="00C859F0" w:rsidRPr="00C859F0">
        <w:rPr>
          <w:rFonts w:ascii="Bookman Old Style" w:hAnsi="Bookman Old Style"/>
          <w:i/>
          <w:iCs/>
          <w:color w:val="000000"/>
          <w:sz w:val="28"/>
          <w:szCs w:val="28"/>
          <w:lang w:val="el-GR"/>
        </w:rPr>
        <w:t xml:space="preserve"> περί Εταιρειών Νόμου</w:t>
      </w:r>
      <w:r w:rsidR="00C859F0">
        <w:rPr>
          <w:rFonts w:ascii="Bookman Old Style" w:hAnsi="Bookman Old Style"/>
          <w:color w:val="000000"/>
          <w:sz w:val="28"/>
          <w:szCs w:val="28"/>
          <w:lang w:val="el-GR"/>
        </w:rPr>
        <w:t>»</w:t>
      </w:r>
      <w:r w:rsidR="00035823">
        <w:rPr>
          <w:rFonts w:ascii="Bookman Old Style" w:hAnsi="Bookman Old Style"/>
          <w:color w:val="000000"/>
          <w:sz w:val="28"/>
          <w:szCs w:val="28"/>
          <w:lang w:val="el-GR"/>
        </w:rPr>
        <w:t xml:space="preserve">. </w:t>
      </w:r>
      <w:r w:rsidR="00C859F0">
        <w:rPr>
          <w:rFonts w:ascii="Bookman Old Style" w:hAnsi="Bookman Old Style"/>
          <w:color w:val="000000"/>
          <w:sz w:val="28"/>
          <w:szCs w:val="28"/>
          <w:lang w:val="el-GR"/>
        </w:rPr>
        <w:t xml:space="preserve">Τα ποσά τα οποία ζητούνταν </w:t>
      </w:r>
      <w:proofErr w:type="spellStart"/>
      <w:r w:rsidR="00C859F0">
        <w:rPr>
          <w:rFonts w:ascii="Bookman Old Style" w:hAnsi="Bookman Old Style"/>
          <w:color w:val="000000"/>
          <w:sz w:val="28"/>
          <w:szCs w:val="28"/>
          <w:lang w:val="el-GR"/>
        </w:rPr>
        <w:t>περι</w:t>
      </w:r>
      <w:r w:rsidR="00E252C0">
        <w:rPr>
          <w:rFonts w:ascii="Bookman Old Style" w:hAnsi="Bookman Old Style"/>
          <w:color w:val="000000"/>
          <w:sz w:val="28"/>
          <w:szCs w:val="28"/>
          <w:lang w:val="el-GR"/>
        </w:rPr>
        <w:t>ελά</w:t>
      </w:r>
      <w:r w:rsidR="00C859F0">
        <w:rPr>
          <w:rFonts w:ascii="Bookman Old Style" w:hAnsi="Bookman Old Style"/>
          <w:color w:val="000000"/>
          <w:sz w:val="28"/>
          <w:szCs w:val="28"/>
          <w:lang w:val="el-GR"/>
        </w:rPr>
        <w:t>μβαναν</w:t>
      </w:r>
      <w:proofErr w:type="spellEnd"/>
      <w:r w:rsidR="00C859F0">
        <w:rPr>
          <w:rFonts w:ascii="Bookman Old Style" w:hAnsi="Bookman Old Style"/>
          <w:color w:val="000000"/>
          <w:sz w:val="28"/>
          <w:szCs w:val="28"/>
          <w:lang w:val="el-GR"/>
        </w:rPr>
        <w:t xml:space="preserve"> </w:t>
      </w:r>
      <w:r w:rsidR="00FD2C34">
        <w:rPr>
          <w:rFonts w:ascii="Bookman Old Style" w:hAnsi="Bookman Old Style"/>
          <w:color w:val="000000"/>
          <w:sz w:val="28"/>
          <w:szCs w:val="28"/>
          <w:lang w:val="el-GR"/>
        </w:rPr>
        <w:t xml:space="preserve">το </w:t>
      </w:r>
      <w:r w:rsidR="00C859F0">
        <w:rPr>
          <w:rFonts w:ascii="Bookman Old Style" w:hAnsi="Bookman Old Style"/>
          <w:color w:val="000000"/>
          <w:sz w:val="28"/>
          <w:szCs w:val="28"/>
          <w:lang w:val="el-GR"/>
        </w:rPr>
        <w:t xml:space="preserve">κεφάλαιο, τόκους, δικηγορικά έξοδα </w:t>
      </w:r>
      <w:r w:rsidR="00745AB6">
        <w:rPr>
          <w:rFonts w:ascii="Bookman Old Style" w:hAnsi="Bookman Old Style"/>
          <w:color w:val="000000"/>
          <w:sz w:val="28"/>
          <w:szCs w:val="28"/>
          <w:lang w:val="el-GR"/>
        </w:rPr>
        <w:t xml:space="preserve">αλλά </w:t>
      </w:r>
      <w:r w:rsidR="00C859F0">
        <w:rPr>
          <w:rFonts w:ascii="Bookman Old Style" w:hAnsi="Bookman Old Style"/>
          <w:color w:val="000000"/>
          <w:sz w:val="28"/>
          <w:szCs w:val="28"/>
          <w:lang w:val="el-GR"/>
        </w:rPr>
        <w:t>και έξοδα της διαιτησίας</w:t>
      </w:r>
      <w:r w:rsidR="00781FC6">
        <w:rPr>
          <w:rFonts w:ascii="Bookman Old Style" w:hAnsi="Bookman Old Style"/>
          <w:color w:val="000000"/>
          <w:sz w:val="28"/>
          <w:szCs w:val="28"/>
          <w:lang w:val="el-GR"/>
        </w:rPr>
        <w:t xml:space="preserve">. </w:t>
      </w:r>
      <w:r w:rsidR="00C859F0">
        <w:rPr>
          <w:rFonts w:ascii="Bookman Old Style" w:hAnsi="Bookman Old Style"/>
          <w:color w:val="000000"/>
          <w:sz w:val="28"/>
          <w:szCs w:val="28"/>
          <w:lang w:val="el-GR"/>
        </w:rPr>
        <w:t>Ακολούθως, κάτω από τον τίτλο «</w:t>
      </w:r>
      <w:r w:rsidR="00C859F0" w:rsidRPr="00C859F0">
        <w:rPr>
          <w:rFonts w:ascii="Bookman Old Style" w:hAnsi="Bookman Old Style"/>
          <w:i/>
          <w:iCs/>
          <w:color w:val="000000"/>
          <w:sz w:val="28"/>
          <w:szCs w:val="28"/>
          <w:lang w:val="el-GR"/>
        </w:rPr>
        <w:t>Λεπτομέρειες των Οφειλόμενων Ποσών</w:t>
      </w:r>
      <w:r w:rsidR="00C859F0">
        <w:rPr>
          <w:rFonts w:ascii="Bookman Old Style" w:hAnsi="Bookman Old Style"/>
          <w:color w:val="000000"/>
          <w:sz w:val="28"/>
          <w:szCs w:val="28"/>
          <w:lang w:val="el-GR"/>
        </w:rPr>
        <w:t>»</w:t>
      </w:r>
      <w:r w:rsidR="006D26FE">
        <w:rPr>
          <w:rFonts w:ascii="Bookman Old Style" w:hAnsi="Bookman Old Style"/>
          <w:color w:val="000000"/>
          <w:sz w:val="28"/>
          <w:szCs w:val="28"/>
          <w:lang w:val="el-GR"/>
        </w:rPr>
        <w:t xml:space="preserve"> </w:t>
      </w:r>
      <w:r w:rsidR="00C859F0">
        <w:rPr>
          <w:rFonts w:ascii="Bookman Old Style" w:hAnsi="Bookman Old Style"/>
          <w:color w:val="000000"/>
          <w:sz w:val="28"/>
          <w:szCs w:val="28"/>
          <w:lang w:val="el-GR"/>
        </w:rPr>
        <w:t xml:space="preserve">αναφερόταν το ιστορικό από την ημερομηνία σύναψης της συμφωνίας δανείου μέχρι και την έκδοση της διαιτητικής απόφασης, τη γνωστοποίηση αυτής στην </w:t>
      </w:r>
      <w:proofErr w:type="spellStart"/>
      <w:r w:rsidR="00C859F0">
        <w:rPr>
          <w:rFonts w:ascii="Bookman Old Style" w:hAnsi="Bookman Old Style"/>
          <w:color w:val="000000"/>
          <w:sz w:val="28"/>
          <w:szCs w:val="28"/>
          <w:lang w:val="el-GR"/>
        </w:rPr>
        <w:t>Εφεσείουσα</w:t>
      </w:r>
      <w:proofErr w:type="spellEnd"/>
      <w:r w:rsidR="00C859F0">
        <w:rPr>
          <w:rFonts w:ascii="Bookman Old Style" w:hAnsi="Bookman Old Style"/>
          <w:color w:val="000000"/>
          <w:sz w:val="28"/>
          <w:szCs w:val="28"/>
          <w:lang w:val="el-GR"/>
        </w:rPr>
        <w:t xml:space="preserve"> και την παράλειψη πληρωμής των οφειλόμενων ποσών. </w:t>
      </w:r>
    </w:p>
    <w:p w14:paraId="35881A15" w14:textId="23AF163F" w:rsidR="00517B2C" w:rsidRDefault="00FD2C34" w:rsidP="004B08EA">
      <w:pPr>
        <w:spacing w:before="24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Με βάση </w:t>
      </w:r>
      <w:r w:rsidR="00130135">
        <w:rPr>
          <w:rFonts w:ascii="Bookman Old Style" w:hAnsi="Bookman Old Style"/>
          <w:color w:val="000000"/>
          <w:sz w:val="28"/>
          <w:szCs w:val="28"/>
          <w:lang w:val="el-GR"/>
        </w:rPr>
        <w:t xml:space="preserve">τα όσα είχαν τεθεί ενώπιον του και ειδικότερα το περιεχόμενο της γραπτής απαίτησης, </w:t>
      </w:r>
      <w:r w:rsidR="00745AB6">
        <w:rPr>
          <w:rFonts w:ascii="Bookman Old Style" w:hAnsi="Bookman Old Style"/>
          <w:color w:val="000000"/>
          <w:sz w:val="28"/>
          <w:szCs w:val="28"/>
          <w:lang w:val="el-GR"/>
        </w:rPr>
        <w:t>ορθ</w:t>
      </w:r>
      <w:r w:rsidR="008C3F6D">
        <w:rPr>
          <w:rFonts w:ascii="Bookman Old Style" w:hAnsi="Bookman Old Style"/>
          <w:color w:val="000000"/>
          <w:sz w:val="28"/>
          <w:szCs w:val="28"/>
          <w:lang w:val="el-GR"/>
        </w:rPr>
        <w:t>ώς</w:t>
      </w:r>
      <w:r w:rsidR="00745AB6">
        <w:rPr>
          <w:rFonts w:ascii="Bookman Old Style" w:hAnsi="Bookman Old Style"/>
          <w:color w:val="000000"/>
          <w:sz w:val="28"/>
          <w:szCs w:val="28"/>
          <w:lang w:val="el-GR"/>
        </w:rPr>
        <w:t xml:space="preserve"> </w:t>
      </w:r>
      <w:r w:rsidR="00130135">
        <w:rPr>
          <w:rFonts w:ascii="Bookman Old Style" w:hAnsi="Bookman Old Style"/>
          <w:color w:val="000000"/>
          <w:sz w:val="28"/>
          <w:szCs w:val="28"/>
          <w:lang w:val="el-GR"/>
        </w:rPr>
        <w:t xml:space="preserve">το πρωτόδικο Δικαστήριο θεώρησε πως η απαίτηση στηριζόταν στη διαιτητική απόφαση και </w:t>
      </w:r>
      <w:r w:rsidR="00C13068">
        <w:rPr>
          <w:rFonts w:ascii="Bookman Old Style" w:hAnsi="Bookman Old Style"/>
          <w:color w:val="000000"/>
          <w:sz w:val="28"/>
          <w:szCs w:val="28"/>
          <w:lang w:val="el-GR"/>
        </w:rPr>
        <w:t xml:space="preserve">όχι </w:t>
      </w:r>
      <w:r w:rsidR="00130135">
        <w:rPr>
          <w:rFonts w:ascii="Bookman Old Style" w:hAnsi="Bookman Old Style"/>
          <w:color w:val="000000"/>
          <w:sz w:val="28"/>
          <w:szCs w:val="28"/>
          <w:lang w:val="el-GR"/>
        </w:rPr>
        <w:t xml:space="preserve">στη συμφωνία δανείου. </w:t>
      </w:r>
      <w:r w:rsidR="00DF78B3">
        <w:rPr>
          <w:rFonts w:ascii="Bookman Old Style" w:hAnsi="Bookman Old Style"/>
          <w:color w:val="000000"/>
          <w:sz w:val="28"/>
          <w:szCs w:val="28"/>
          <w:lang w:val="el-GR"/>
        </w:rPr>
        <w:t xml:space="preserve">Το πρωτόδικο Δικαστήριο όντως προβληματίστηκε για την </w:t>
      </w:r>
      <w:r w:rsidR="00745AB6">
        <w:rPr>
          <w:rFonts w:ascii="Bookman Old Style" w:hAnsi="Bookman Old Style"/>
          <w:color w:val="000000"/>
          <w:sz w:val="28"/>
          <w:szCs w:val="28"/>
          <w:lang w:val="el-GR"/>
        </w:rPr>
        <w:t xml:space="preserve">αναφορά </w:t>
      </w:r>
      <w:r w:rsidR="00517B2C">
        <w:rPr>
          <w:rFonts w:ascii="Bookman Old Style" w:hAnsi="Bookman Old Style"/>
          <w:color w:val="000000"/>
          <w:sz w:val="28"/>
          <w:szCs w:val="28"/>
          <w:lang w:val="el-GR"/>
        </w:rPr>
        <w:lastRenderedPageBreak/>
        <w:t xml:space="preserve">στο </w:t>
      </w:r>
      <w:r w:rsidR="00517B2C" w:rsidRPr="00517B2C">
        <w:rPr>
          <w:rFonts w:ascii="Bookman Old Style" w:hAnsi="Bookman Old Style"/>
          <w:b/>
          <w:bCs/>
          <w:i/>
          <w:iCs/>
          <w:color w:val="000000"/>
          <w:sz w:val="28"/>
          <w:szCs w:val="28"/>
          <w:lang w:val="el-GR"/>
        </w:rPr>
        <w:t>άρθρο 212(α)</w:t>
      </w:r>
      <w:r w:rsidR="0054673C">
        <w:rPr>
          <w:rFonts w:ascii="Bookman Old Style" w:hAnsi="Bookman Old Style"/>
          <w:color w:val="000000"/>
          <w:sz w:val="28"/>
          <w:szCs w:val="28"/>
          <w:lang w:val="el-GR"/>
        </w:rPr>
        <w:t>. Ε</w:t>
      </w:r>
      <w:r w:rsidR="00517B2C">
        <w:rPr>
          <w:rFonts w:ascii="Bookman Old Style" w:hAnsi="Bookman Old Style"/>
          <w:color w:val="000000"/>
          <w:sz w:val="28"/>
          <w:szCs w:val="28"/>
          <w:lang w:val="el-GR"/>
        </w:rPr>
        <w:t>ντούτοις</w:t>
      </w:r>
      <w:r w:rsidR="0054673C">
        <w:rPr>
          <w:rFonts w:ascii="Bookman Old Style" w:hAnsi="Bookman Old Style"/>
          <w:color w:val="000000"/>
          <w:sz w:val="28"/>
          <w:szCs w:val="28"/>
          <w:lang w:val="el-GR"/>
        </w:rPr>
        <w:t>,</w:t>
      </w:r>
      <w:r w:rsidR="00517B2C">
        <w:rPr>
          <w:rFonts w:ascii="Bookman Old Style" w:hAnsi="Bookman Old Style"/>
          <w:color w:val="000000"/>
          <w:sz w:val="28"/>
          <w:szCs w:val="28"/>
          <w:lang w:val="el-GR"/>
        </w:rPr>
        <w:t xml:space="preserve"> το γεγονός της εξασφάλισης της διαιτητικής απόφασης και της απαίτησης των επιδικασθέντων ποσών και τόκων δυνάμει αυτής, καθώς επίσης των εξόδων που προέκυψαν από την εν λόγω διαδικασία, δεν άφηναν περιθώριο στο πρωτόδικο Δικαστήριο για να προβεί σε διαφορετική κατάληξη. </w:t>
      </w:r>
    </w:p>
    <w:p w14:paraId="48D1BFFE" w14:textId="30FBA86C" w:rsidR="00FD2C34" w:rsidRPr="009E7986" w:rsidRDefault="009C2BC1" w:rsidP="004B08EA">
      <w:pPr>
        <w:spacing w:before="24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Υ</w:t>
      </w:r>
      <w:r w:rsidR="00FD2C34">
        <w:rPr>
          <w:rFonts w:ascii="Bookman Old Style" w:hAnsi="Bookman Old Style"/>
          <w:color w:val="000000"/>
          <w:sz w:val="28"/>
          <w:szCs w:val="28"/>
          <w:lang w:val="el-GR"/>
        </w:rPr>
        <w:t xml:space="preserve">πό </w:t>
      </w:r>
      <w:r>
        <w:rPr>
          <w:rFonts w:ascii="Bookman Old Style" w:hAnsi="Bookman Old Style"/>
          <w:color w:val="000000"/>
          <w:sz w:val="28"/>
          <w:szCs w:val="28"/>
          <w:lang w:val="el-GR"/>
        </w:rPr>
        <w:t xml:space="preserve">αυτές </w:t>
      </w:r>
      <w:r w:rsidR="00FD2C34">
        <w:rPr>
          <w:rFonts w:ascii="Bookman Old Style" w:hAnsi="Bookman Old Style"/>
          <w:color w:val="000000"/>
          <w:sz w:val="28"/>
          <w:szCs w:val="28"/>
          <w:lang w:val="el-GR"/>
        </w:rPr>
        <w:t xml:space="preserve">τις περιστάσεις, </w:t>
      </w:r>
      <w:r w:rsidR="004155A4">
        <w:rPr>
          <w:rFonts w:ascii="Bookman Old Style" w:hAnsi="Bookman Old Style"/>
          <w:color w:val="000000"/>
          <w:sz w:val="28"/>
          <w:szCs w:val="28"/>
          <w:lang w:val="el-GR"/>
        </w:rPr>
        <w:t xml:space="preserve">δεν υιοθετούμε την εισήγηση της </w:t>
      </w:r>
      <w:proofErr w:type="spellStart"/>
      <w:r w:rsidR="004155A4">
        <w:rPr>
          <w:rFonts w:ascii="Bookman Old Style" w:hAnsi="Bookman Old Style"/>
          <w:color w:val="000000"/>
          <w:sz w:val="28"/>
          <w:szCs w:val="28"/>
          <w:lang w:val="el-GR"/>
        </w:rPr>
        <w:t>Εφεσείουσας</w:t>
      </w:r>
      <w:proofErr w:type="spellEnd"/>
      <w:r w:rsidR="004155A4">
        <w:rPr>
          <w:rFonts w:ascii="Bookman Old Style" w:hAnsi="Bookman Old Style"/>
          <w:color w:val="000000"/>
          <w:sz w:val="28"/>
          <w:szCs w:val="28"/>
          <w:lang w:val="el-GR"/>
        </w:rPr>
        <w:t xml:space="preserve"> </w:t>
      </w:r>
      <w:r>
        <w:rPr>
          <w:rFonts w:ascii="Bookman Old Style" w:hAnsi="Bookman Old Style"/>
          <w:color w:val="000000"/>
          <w:sz w:val="28"/>
          <w:szCs w:val="28"/>
          <w:lang w:val="el-GR"/>
        </w:rPr>
        <w:t xml:space="preserve">πως </w:t>
      </w:r>
      <w:r w:rsidR="00345AC0">
        <w:rPr>
          <w:rFonts w:ascii="Bookman Old Style" w:hAnsi="Bookman Old Style"/>
          <w:color w:val="000000"/>
          <w:sz w:val="28"/>
          <w:szCs w:val="28"/>
          <w:lang w:val="el-GR"/>
        </w:rPr>
        <w:t xml:space="preserve">το γεγονός ότι </w:t>
      </w:r>
      <w:r w:rsidR="00F522E4">
        <w:rPr>
          <w:rFonts w:ascii="Bookman Old Style" w:hAnsi="Bookman Old Style"/>
          <w:color w:val="000000"/>
          <w:sz w:val="28"/>
          <w:szCs w:val="28"/>
          <w:lang w:val="el-GR"/>
        </w:rPr>
        <w:t xml:space="preserve">η απαίτηση </w:t>
      </w:r>
      <w:r w:rsidR="00345AC0">
        <w:rPr>
          <w:rFonts w:ascii="Bookman Old Style" w:hAnsi="Bookman Old Style"/>
          <w:color w:val="000000"/>
          <w:sz w:val="28"/>
          <w:szCs w:val="28"/>
          <w:lang w:val="el-GR"/>
        </w:rPr>
        <w:t>αναφέρεται στη διαιτητική απόφαση</w:t>
      </w:r>
      <w:r w:rsidR="00466974" w:rsidRPr="00466974">
        <w:rPr>
          <w:rFonts w:ascii="Bookman Old Style" w:hAnsi="Bookman Old Style"/>
          <w:color w:val="000000"/>
          <w:sz w:val="28"/>
          <w:szCs w:val="28"/>
          <w:lang w:val="el-GR"/>
        </w:rPr>
        <w:t xml:space="preserve"> </w:t>
      </w:r>
      <w:r w:rsidR="00466974">
        <w:rPr>
          <w:rFonts w:ascii="Bookman Old Style" w:hAnsi="Bookman Old Style"/>
          <w:color w:val="000000"/>
          <w:sz w:val="28"/>
          <w:szCs w:val="28"/>
          <w:lang w:val="el-GR"/>
        </w:rPr>
        <w:t>δύναται να θεωρηθεί ως λάθος στη διατύπωση της απαίτησης</w:t>
      </w:r>
      <w:r w:rsidR="005526B1">
        <w:rPr>
          <w:rFonts w:ascii="Bookman Old Style" w:hAnsi="Bookman Old Style"/>
          <w:color w:val="000000"/>
          <w:sz w:val="28"/>
          <w:szCs w:val="28"/>
          <w:lang w:val="el-GR"/>
        </w:rPr>
        <w:t>,</w:t>
      </w:r>
      <w:r w:rsidR="00DB3588">
        <w:rPr>
          <w:rFonts w:ascii="Bookman Old Style" w:hAnsi="Bookman Old Style"/>
          <w:color w:val="000000"/>
          <w:sz w:val="28"/>
          <w:szCs w:val="28"/>
          <w:lang w:val="el-GR"/>
        </w:rPr>
        <w:t xml:space="preserve"> </w:t>
      </w:r>
      <w:r w:rsidR="00FD2C34">
        <w:rPr>
          <w:rFonts w:ascii="Bookman Old Style" w:hAnsi="Bookman Old Style"/>
          <w:color w:val="000000"/>
          <w:sz w:val="28"/>
          <w:szCs w:val="28"/>
          <w:lang w:val="el-GR"/>
        </w:rPr>
        <w:t xml:space="preserve">ούτως ώστε να καταλήξουμε ότι η απαίτηση στηρίζεται </w:t>
      </w:r>
      <w:r w:rsidR="00E31944">
        <w:rPr>
          <w:rFonts w:ascii="Bookman Old Style" w:hAnsi="Bookman Old Style"/>
          <w:color w:val="000000"/>
          <w:sz w:val="28"/>
          <w:szCs w:val="28"/>
          <w:lang w:val="el-GR"/>
        </w:rPr>
        <w:t xml:space="preserve">αποκλειστικά </w:t>
      </w:r>
      <w:r w:rsidR="00FD2C34">
        <w:rPr>
          <w:rFonts w:ascii="Bookman Old Style" w:hAnsi="Bookman Old Style"/>
          <w:color w:val="000000"/>
          <w:sz w:val="28"/>
          <w:szCs w:val="28"/>
          <w:lang w:val="el-GR"/>
        </w:rPr>
        <w:t xml:space="preserve">στο </w:t>
      </w:r>
      <w:r w:rsidR="00FD2C34" w:rsidRPr="00250D9E">
        <w:rPr>
          <w:rFonts w:ascii="Bookman Old Style" w:hAnsi="Bookman Old Style"/>
          <w:b/>
          <w:bCs/>
          <w:i/>
          <w:iCs/>
          <w:color w:val="000000"/>
          <w:sz w:val="28"/>
          <w:szCs w:val="28"/>
          <w:lang w:val="el-GR"/>
        </w:rPr>
        <w:t>άρθρο 212(α)</w:t>
      </w:r>
      <w:r w:rsidR="00FD2C34">
        <w:rPr>
          <w:rFonts w:ascii="Bookman Old Style" w:hAnsi="Bookman Old Style"/>
          <w:color w:val="000000"/>
          <w:sz w:val="28"/>
          <w:szCs w:val="28"/>
          <w:lang w:val="el-GR"/>
        </w:rPr>
        <w:t xml:space="preserve"> και στην οφειλή δυνάμει της συμφωνίας</w:t>
      </w:r>
      <w:r w:rsidR="00466974">
        <w:rPr>
          <w:rFonts w:ascii="Bookman Old Style" w:hAnsi="Bookman Old Style"/>
          <w:color w:val="000000"/>
          <w:sz w:val="28"/>
          <w:szCs w:val="28"/>
          <w:lang w:val="el-GR"/>
        </w:rPr>
        <w:t xml:space="preserve">. </w:t>
      </w:r>
      <w:r w:rsidR="00FD2C34">
        <w:rPr>
          <w:rFonts w:ascii="Bookman Old Style" w:hAnsi="Bookman Old Style"/>
          <w:color w:val="000000"/>
          <w:sz w:val="28"/>
          <w:szCs w:val="28"/>
          <w:lang w:val="el-GR"/>
        </w:rPr>
        <w:t xml:space="preserve">Στην υπόθεση </w:t>
      </w:r>
      <w:r w:rsidR="00FD2C34" w:rsidRPr="001603A2">
        <w:rPr>
          <w:rFonts w:ascii="Bookman Old Style" w:hAnsi="Bookman Old Style"/>
          <w:b/>
          <w:bCs/>
          <w:i/>
          <w:iCs/>
          <w:color w:val="000000"/>
          <w:sz w:val="28"/>
          <w:szCs w:val="28"/>
        </w:rPr>
        <w:t>In</w:t>
      </w:r>
      <w:r w:rsidR="00FD2C34" w:rsidRPr="001603A2">
        <w:rPr>
          <w:rFonts w:ascii="Bookman Old Style" w:hAnsi="Bookman Old Style"/>
          <w:b/>
          <w:bCs/>
          <w:i/>
          <w:iCs/>
          <w:color w:val="000000"/>
          <w:sz w:val="28"/>
          <w:szCs w:val="28"/>
          <w:lang w:val="el-GR"/>
        </w:rPr>
        <w:t xml:space="preserve"> </w:t>
      </w:r>
      <w:r w:rsidR="00FD2C34" w:rsidRPr="001603A2">
        <w:rPr>
          <w:rFonts w:ascii="Bookman Old Style" w:hAnsi="Bookman Old Style"/>
          <w:b/>
          <w:bCs/>
          <w:i/>
          <w:iCs/>
          <w:color w:val="000000"/>
          <w:sz w:val="28"/>
          <w:szCs w:val="28"/>
        </w:rPr>
        <w:t>re</w:t>
      </w:r>
      <w:r w:rsidR="00FD2C34" w:rsidRPr="001603A2">
        <w:rPr>
          <w:rFonts w:ascii="Bookman Old Style" w:hAnsi="Bookman Old Style"/>
          <w:b/>
          <w:bCs/>
          <w:i/>
          <w:iCs/>
          <w:color w:val="000000"/>
          <w:sz w:val="28"/>
          <w:szCs w:val="28"/>
          <w:lang w:val="el-GR"/>
        </w:rPr>
        <w:t xml:space="preserve"> </w:t>
      </w:r>
      <w:r w:rsidR="00FD2C34" w:rsidRPr="001603A2">
        <w:rPr>
          <w:rFonts w:ascii="Bookman Old Style" w:hAnsi="Bookman Old Style"/>
          <w:b/>
          <w:bCs/>
          <w:i/>
          <w:iCs/>
          <w:color w:val="000000"/>
          <w:sz w:val="28"/>
          <w:szCs w:val="28"/>
        </w:rPr>
        <w:t>A</w:t>
      </w:r>
      <w:r w:rsidR="00FD2C34" w:rsidRPr="001603A2">
        <w:rPr>
          <w:rFonts w:ascii="Bookman Old Style" w:hAnsi="Bookman Old Style"/>
          <w:b/>
          <w:bCs/>
          <w:i/>
          <w:iCs/>
          <w:color w:val="000000"/>
          <w:sz w:val="28"/>
          <w:szCs w:val="28"/>
          <w:lang w:val="el-GR"/>
        </w:rPr>
        <w:t xml:space="preserve"> </w:t>
      </w:r>
      <w:r w:rsidR="00FD2C34" w:rsidRPr="001603A2">
        <w:rPr>
          <w:rFonts w:ascii="Bookman Old Style" w:hAnsi="Bookman Old Style"/>
          <w:b/>
          <w:bCs/>
          <w:i/>
          <w:iCs/>
          <w:color w:val="000000"/>
          <w:sz w:val="28"/>
          <w:szCs w:val="28"/>
        </w:rPr>
        <w:t>Debtor</w:t>
      </w:r>
      <w:r w:rsidR="00FD2C34" w:rsidRPr="001603A2">
        <w:rPr>
          <w:rFonts w:ascii="Bookman Old Style" w:hAnsi="Bookman Old Style"/>
          <w:b/>
          <w:bCs/>
          <w:i/>
          <w:iCs/>
          <w:color w:val="000000"/>
          <w:sz w:val="28"/>
          <w:szCs w:val="28"/>
          <w:lang w:val="el-GR"/>
        </w:rPr>
        <w:t xml:space="preserve"> (</w:t>
      </w:r>
      <w:r w:rsidR="00FD2C34" w:rsidRPr="001603A2">
        <w:rPr>
          <w:rFonts w:ascii="Bookman Old Style" w:hAnsi="Bookman Old Style"/>
          <w:b/>
          <w:bCs/>
          <w:i/>
          <w:iCs/>
          <w:color w:val="000000"/>
          <w:sz w:val="28"/>
          <w:szCs w:val="28"/>
        </w:rPr>
        <w:t>C</w:t>
      </w:r>
      <w:r w:rsidR="00FD2C34" w:rsidRPr="001603A2">
        <w:rPr>
          <w:rFonts w:ascii="Bookman Old Style" w:hAnsi="Bookman Old Style"/>
          <w:b/>
          <w:bCs/>
          <w:i/>
          <w:iCs/>
          <w:color w:val="000000"/>
          <w:sz w:val="28"/>
          <w:szCs w:val="28"/>
          <w:lang w:val="el-GR"/>
        </w:rPr>
        <w:t>.</w:t>
      </w:r>
      <w:r w:rsidR="00FD2C34" w:rsidRPr="001603A2">
        <w:rPr>
          <w:rFonts w:ascii="Bookman Old Style" w:hAnsi="Bookman Old Style"/>
          <w:b/>
          <w:bCs/>
          <w:i/>
          <w:iCs/>
          <w:color w:val="000000"/>
          <w:sz w:val="28"/>
          <w:szCs w:val="28"/>
        </w:rPr>
        <w:t>A</w:t>
      </w:r>
      <w:r w:rsidR="00FD2C34" w:rsidRPr="001603A2">
        <w:rPr>
          <w:rFonts w:ascii="Bookman Old Style" w:hAnsi="Bookman Old Style"/>
          <w:b/>
          <w:bCs/>
          <w:i/>
          <w:iCs/>
          <w:color w:val="000000"/>
          <w:sz w:val="28"/>
          <w:szCs w:val="28"/>
          <w:lang w:val="el-GR"/>
        </w:rPr>
        <w:t xml:space="preserve">) [1989]1 </w:t>
      </w:r>
      <w:r w:rsidR="00FD2C34" w:rsidRPr="001603A2">
        <w:rPr>
          <w:rFonts w:ascii="Bookman Old Style" w:hAnsi="Bookman Old Style"/>
          <w:b/>
          <w:bCs/>
          <w:i/>
          <w:iCs/>
          <w:color w:val="000000"/>
          <w:sz w:val="28"/>
          <w:szCs w:val="28"/>
        </w:rPr>
        <w:t>C</w:t>
      </w:r>
      <w:r w:rsidR="00FD2C34" w:rsidRPr="001603A2">
        <w:rPr>
          <w:rFonts w:ascii="Bookman Old Style" w:hAnsi="Bookman Old Style"/>
          <w:b/>
          <w:bCs/>
          <w:i/>
          <w:iCs/>
          <w:color w:val="000000"/>
          <w:sz w:val="28"/>
          <w:szCs w:val="28"/>
          <w:lang w:val="el-GR"/>
        </w:rPr>
        <w:t>.</w:t>
      </w:r>
      <w:r w:rsidR="00FD2C34" w:rsidRPr="001603A2">
        <w:rPr>
          <w:rFonts w:ascii="Bookman Old Style" w:hAnsi="Bookman Old Style"/>
          <w:b/>
          <w:bCs/>
          <w:i/>
          <w:iCs/>
          <w:color w:val="000000"/>
          <w:sz w:val="28"/>
          <w:szCs w:val="28"/>
        </w:rPr>
        <w:t>L</w:t>
      </w:r>
      <w:r w:rsidR="00FD2C34" w:rsidRPr="001603A2">
        <w:rPr>
          <w:rFonts w:ascii="Bookman Old Style" w:hAnsi="Bookman Old Style"/>
          <w:b/>
          <w:bCs/>
          <w:i/>
          <w:iCs/>
          <w:color w:val="000000"/>
          <w:sz w:val="28"/>
          <w:szCs w:val="28"/>
          <w:lang w:val="el-GR"/>
        </w:rPr>
        <w:t>.</w:t>
      </w:r>
      <w:r w:rsidR="00FD2C34" w:rsidRPr="001603A2">
        <w:rPr>
          <w:rFonts w:ascii="Bookman Old Style" w:hAnsi="Bookman Old Style"/>
          <w:b/>
          <w:bCs/>
          <w:i/>
          <w:iCs/>
          <w:color w:val="000000"/>
          <w:sz w:val="28"/>
          <w:szCs w:val="28"/>
        </w:rPr>
        <w:t>R</w:t>
      </w:r>
      <w:r w:rsidR="00FD2C34" w:rsidRPr="001603A2">
        <w:rPr>
          <w:rFonts w:ascii="Bookman Old Style" w:hAnsi="Bookman Old Style"/>
          <w:b/>
          <w:bCs/>
          <w:i/>
          <w:iCs/>
          <w:color w:val="000000"/>
          <w:sz w:val="28"/>
          <w:szCs w:val="28"/>
          <w:lang w:val="el-GR"/>
        </w:rPr>
        <w:t>. 271</w:t>
      </w:r>
      <w:r w:rsidR="00FD2C34">
        <w:rPr>
          <w:rFonts w:ascii="Bookman Old Style" w:hAnsi="Bookman Old Style"/>
          <w:color w:val="000000"/>
          <w:sz w:val="28"/>
          <w:szCs w:val="28"/>
          <w:lang w:val="el-GR"/>
        </w:rPr>
        <w:t xml:space="preserve">, στην οποία παρέπεμψε η </w:t>
      </w:r>
      <w:proofErr w:type="spellStart"/>
      <w:r w:rsidR="00FD2C34">
        <w:rPr>
          <w:rFonts w:ascii="Bookman Old Style" w:hAnsi="Bookman Old Style"/>
          <w:color w:val="000000"/>
          <w:sz w:val="28"/>
          <w:szCs w:val="28"/>
          <w:lang w:val="el-GR"/>
        </w:rPr>
        <w:t>Εφεσείουσα</w:t>
      </w:r>
      <w:proofErr w:type="spellEnd"/>
      <w:r w:rsidR="00FD2C34">
        <w:rPr>
          <w:rFonts w:ascii="Bookman Old Style" w:hAnsi="Bookman Old Style"/>
          <w:color w:val="000000"/>
          <w:sz w:val="28"/>
          <w:szCs w:val="28"/>
          <w:lang w:val="el-GR"/>
        </w:rPr>
        <w:t>, έγινε η διάκριση μεταξύ λαθών στην απαίτηση τα οποία είναι τόσο σοβαρά</w:t>
      </w:r>
      <w:r w:rsidR="00FD2C34" w:rsidRPr="00683027">
        <w:rPr>
          <w:rFonts w:ascii="Bookman Old Style" w:hAnsi="Bookman Old Style"/>
          <w:color w:val="000000"/>
          <w:sz w:val="28"/>
          <w:szCs w:val="28"/>
          <w:lang w:val="el-GR"/>
        </w:rPr>
        <w:t xml:space="preserve">, </w:t>
      </w:r>
      <w:r w:rsidR="00FD2C34">
        <w:rPr>
          <w:rFonts w:ascii="Bookman Old Style" w:hAnsi="Bookman Old Style"/>
          <w:color w:val="000000"/>
          <w:sz w:val="28"/>
          <w:szCs w:val="28"/>
          <w:lang w:val="el-GR"/>
        </w:rPr>
        <w:t xml:space="preserve">προκαλούν σύγχυση και δεν επιτρέπουν να θεωρηθεί ως έγκυρη η απαίτηση και λαθών τα οποία δεν επηρεάζουν καθόλου τον οφειλέτη και ο παραμερισμός της </w:t>
      </w:r>
      <w:r w:rsidR="00E44E26">
        <w:rPr>
          <w:rFonts w:ascii="Bookman Old Style" w:hAnsi="Bookman Old Style"/>
          <w:color w:val="000000"/>
          <w:sz w:val="28"/>
          <w:szCs w:val="28"/>
          <w:lang w:val="el-GR"/>
        </w:rPr>
        <w:t xml:space="preserve">απαίτησης </w:t>
      </w:r>
      <w:r w:rsidR="00FD2C34">
        <w:rPr>
          <w:rFonts w:ascii="Bookman Old Style" w:hAnsi="Bookman Old Style"/>
          <w:color w:val="000000"/>
          <w:sz w:val="28"/>
          <w:szCs w:val="28"/>
          <w:lang w:val="el-GR"/>
        </w:rPr>
        <w:t xml:space="preserve">δεν εξυπηρετεί οποιονδήποτε σκοπό. Σε εκείνη την υπόθεση υπήρχε λάθος στο ποσό της οφειλής, το οποίο κρίθηκε πως ενέπιπτε στη δεύτερη κατηγορία. Η ίδια αρχή υιοθετήθηκε και στην υπόθεση </w:t>
      </w:r>
      <w:r w:rsidR="00FD2C34" w:rsidRPr="009E7986">
        <w:rPr>
          <w:rFonts w:ascii="Bookman Old Style" w:hAnsi="Bookman Old Style"/>
          <w:b/>
          <w:bCs/>
          <w:i/>
          <w:iCs/>
          <w:color w:val="000000"/>
          <w:sz w:val="28"/>
          <w:szCs w:val="28"/>
        </w:rPr>
        <w:t>Agilo</w:t>
      </w:r>
      <w:r w:rsidR="00FD2C34" w:rsidRPr="009E7986">
        <w:rPr>
          <w:rFonts w:ascii="Bookman Old Style" w:hAnsi="Bookman Old Style"/>
          <w:b/>
          <w:bCs/>
          <w:i/>
          <w:iCs/>
          <w:color w:val="000000"/>
          <w:sz w:val="28"/>
          <w:szCs w:val="28"/>
          <w:lang w:val="el-GR"/>
        </w:rPr>
        <w:t xml:space="preserve"> </w:t>
      </w:r>
      <w:r w:rsidR="00FD2C34" w:rsidRPr="009E7986">
        <w:rPr>
          <w:rFonts w:ascii="Bookman Old Style" w:hAnsi="Bookman Old Style"/>
          <w:b/>
          <w:bCs/>
          <w:i/>
          <w:iCs/>
          <w:color w:val="000000"/>
          <w:sz w:val="28"/>
          <w:szCs w:val="28"/>
        </w:rPr>
        <w:t>Ltd</w:t>
      </w:r>
      <w:r w:rsidR="00FD2C34" w:rsidRPr="009E7986">
        <w:rPr>
          <w:rFonts w:ascii="Bookman Old Style" w:hAnsi="Bookman Old Style"/>
          <w:b/>
          <w:bCs/>
          <w:i/>
          <w:iCs/>
          <w:color w:val="000000"/>
          <w:sz w:val="28"/>
          <w:szCs w:val="28"/>
          <w:lang w:val="el-GR"/>
        </w:rPr>
        <w:t xml:space="preserve"> </w:t>
      </w:r>
      <w:r w:rsidR="00FD2C34" w:rsidRPr="009E7986">
        <w:rPr>
          <w:rFonts w:ascii="Bookman Old Style" w:hAnsi="Bookman Old Style"/>
          <w:b/>
          <w:bCs/>
          <w:i/>
          <w:iCs/>
          <w:color w:val="000000"/>
          <w:sz w:val="28"/>
          <w:szCs w:val="28"/>
        </w:rPr>
        <w:t>v</w:t>
      </w:r>
      <w:r w:rsidR="00FD2C34" w:rsidRPr="009E7986">
        <w:rPr>
          <w:rFonts w:ascii="Bookman Old Style" w:hAnsi="Bookman Old Style"/>
          <w:b/>
          <w:bCs/>
          <w:i/>
          <w:iCs/>
          <w:color w:val="000000"/>
          <w:sz w:val="28"/>
          <w:szCs w:val="28"/>
          <w:lang w:val="el-GR"/>
        </w:rPr>
        <w:t xml:space="preserve">. </w:t>
      </w:r>
      <w:r w:rsidR="00FD2C34" w:rsidRPr="009E7986">
        <w:rPr>
          <w:rFonts w:ascii="Bookman Old Style" w:hAnsi="Bookman Old Style"/>
          <w:b/>
          <w:bCs/>
          <w:i/>
          <w:iCs/>
          <w:color w:val="000000"/>
          <w:sz w:val="28"/>
          <w:szCs w:val="28"/>
        </w:rPr>
        <w:t>Henry</w:t>
      </w:r>
      <w:r w:rsidR="00FD2C34" w:rsidRPr="009E7986">
        <w:rPr>
          <w:rFonts w:ascii="Bookman Old Style" w:hAnsi="Bookman Old Style"/>
          <w:b/>
          <w:bCs/>
          <w:i/>
          <w:iCs/>
          <w:color w:val="000000"/>
          <w:sz w:val="28"/>
          <w:szCs w:val="28"/>
          <w:lang w:val="el-GR"/>
        </w:rPr>
        <w:t xml:space="preserve"> [2010] </w:t>
      </w:r>
      <w:r w:rsidR="00FD2C34" w:rsidRPr="009E7986">
        <w:rPr>
          <w:rFonts w:ascii="Bookman Old Style" w:hAnsi="Bookman Old Style"/>
          <w:b/>
          <w:bCs/>
          <w:i/>
          <w:iCs/>
          <w:color w:val="000000"/>
          <w:sz w:val="28"/>
          <w:szCs w:val="28"/>
        </w:rPr>
        <w:t>EWHC</w:t>
      </w:r>
      <w:r w:rsidR="00FD2C34" w:rsidRPr="009E7986">
        <w:rPr>
          <w:rFonts w:ascii="Bookman Old Style" w:hAnsi="Bookman Old Style"/>
          <w:b/>
          <w:bCs/>
          <w:i/>
          <w:iCs/>
          <w:color w:val="000000"/>
          <w:sz w:val="28"/>
          <w:szCs w:val="28"/>
          <w:lang w:val="el-GR"/>
        </w:rPr>
        <w:t xml:space="preserve"> 2717 (</w:t>
      </w:r>
      <w:r w:rsidR="00FD2C34" w:rsidRPr="009E7986">
        <w:rPr>
          <w:rFonts w:ascii="Bookman Old Style" w:hAnsi="Bookman Old Style"/>
          <w:b/>
          <w:bCs/>
          <w:i/>
          <w:iCs/>
          <w:color w:val="000000"/>
          <w:sz w:val="28"/>
          <w:szCs w:val="28"/>
        </w:rPr>
        <w:t>Ch</w:t>
      </w:r>
      <w:r w:rsidR="00FD2C34" w:rsidRPr="009E7986">
        <w:rPr>
          <w:rFonts w:ascii="Bookman Old Style" w:hAnsi="Bookman Old Style"/>
          <w:b/>
          <w:bCs/>
          <w:i/>
          <w:iCs/>
          <w:color w:val="000000"/>
          <w:sz w:val="28"/>
          <w:szCs w:val="28"/>
          <w:lang w:val="el-GR"/>
        </w:rPr>
        <w:t>)</w:t>
      </w:r>
      <w:r w:rsidR="00FD2C34" w:rsidRPr="009E7986">
        <w:rPr>
          <w:rFonts w:ascii="Bookman Old Style" w:hAnsi="Bookman Old Style"/>
          <w:color w:val="000000"/>
          <w:sz w:val="28"/>
          <w:szCs w:val="28"/>
          <w:lang w:val="el-GR"/>
        </w:rPr>
        <w:t xml:space="preserve">, </w:t>
      </w:r>
      <w:r w:rsidR="00FD2C34">
        <w:rPr>
          <w:rFonts w:ascii="Bookman Old Style" w:hAnsi="Bookman Old Style"/>
          <w:color w:val="000000"/>
          <w:sz w:val="28"/>
          <w:szCs w:val="28"/>
          <w:lang w:val="el-GR"/>
        </w:rPr>
        <w:t xml:space="preserve">στην οποία επίσης παρέπεμψε η </w:t>
      </w:r>
      <w:proofErr w:type="spellStart"/>
      <w:r w:rsidR="00FD2C34">
        <w:rPr>
          <w:rFonts w:ascii="Bookman Old Style" w:hAnsi="Bookman Old Style"/>
          <w:color w:val="000000"/>
          <w:sz w:val="28"/>
          <w:szCs w:val="28"/>
          <w:lang w:val="el-GR"/>
        </w:rPr>
        <w:t>Εφεσείουσα</w:t>
      </w:r>
      <w:proofErr w:type="spellEnd"/>
      <w:r w:rsidR="00FD2C34">
        <w:rPr>
          <w:rFonts w:ascii="Bookman Old Style" w:hAnsi="Bookman Old Style"/>
          <w:color w:val="000000"/>
          <w:sz w:val="28"/>
          <w:szCs w:val="28"/>
          <w:lang w:val="el-GR"/>
        </w:rPr>
        <w:t xml:space="preserve">. </w:t>
      </w:r>
    </w:p>
    <w:p w14:paraId="4D5B762F" w14:textId="18D87364" w:rsidR="00FD2C34" w:rsidRDefault="00FD2C34" w:rsidP="00B81AEE">
      <w:pPr>
        <w:spacing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lastRenderedPageBreak/>
        <w:t xml:space="preserve">Ορθώς επίσης το πρωτόδικο Δικαστήριο άντλησε καθοδήγηση από την υπόθεση </w:t>
      </w:r>
      <w:proofErr w:type="spellStart"/>
      <w:r w:rsidRPr="007568B8">
        <w:rPr>
          <w:rFonts w:ascii="Bookman Old Style" w:hAnsi="Bookman Old Style"/>
          <w:b/>
          <w:bCs/>
          <w:i/>
          <w:iCs/>
          <w:color w:val="000000"/>
          <w:sz w:val="28"/>
          <w:szCs w:val="28"/>
          <w:lang w:val="en-GB"/>
        </w:rPr>
        <w:t>Besuno</w:t>
      </w:r>
      <w:proofErr w:type="spellEnd"/>
      <w:r>
        <w:rPr>
          <w:rFonts w:ascii="Bookman Old Style" w:hAnsi="Bookman Old Style"/>
          <w:color w:val="000000"/>
          <w:sz w:val="28"/>
          <w:szCs w:val="28"/>
          <w:lang w:val="el-GR"/>
        </w:rPr>
        <w:t>, ότι η</w:t>
      </w:r>
      <w:r w:rsidRPr="007568B8">
        <w:rPr>
          <w:rFonts w:ascii="Bookman Old Style" w:hAnsi="Bookman Old Style"/>
          <w:color w:val="000000"/>
          <w:sz w:val="28"/>
          <w:szCs w:val="28"/>
          <w:lang w:val="el-GR"/>
        </w:rPr>
        <w:t xml:space="preserve"> </w:t>
      </w:r>
      <w:r>
        <w:rPr>
          <w:rFonts w:ascii="Bookman Old Style" w:hAnsi="Bookman Old Style"/>
          <w:color w:val="000000"/>
          <w:sz w:val="28"/>
          <w:szCs w:val="28"/>
          <w:lang w:val="el-GR"/>
        </w:rPr>
        <w:t xml:space="preserve">ύπαρξη της διαιτητικής απόφασης από μόνη της, χωρίς εγγραφή και αναγνώριση, δεν δημιουργεί έννομο αποτέλεσμα εφόσον δεν είναι δυνατή η εκτέλεση της στην Κυπριακή Δημοκρατία, ούτε και καταδεικνύει εκκαθαρισμένο και απαιτητό χρέος. Εύστοχη ήταν και η τοποθέτηση του πρωτόδικου Δικαστηρίου ότι δεν ενέχει σημασία το γεγονός της </w:t>
      </w:r>
      <w:r w:rsidR="00E31944">
        <w:rPr>
          <w:rFonts w:ascii="Bookman Old Style" w:hAnsi="Bookman Old Style"/>
          <w:color w:val="000000"/>
          <w:sz w:val="28"/>
          <w:szCs w:val="28"/>
          <w:lang w:val="el-GR"/>
        </w:rPr>
        <w:t xml:space="preserve">αποτυχίας </w:t>
      </w:r>
      <w:r>
        <w:rPr>
          <w:rFonts w:ascii="Bookman Old Style" w:hAnsi="Bookman Old Style"/>
          <w:color w:val="000000"/>
          <w:sz w:val="28"/>
          <w:szCs w:val="28"/>
          <w:lang w:val="el-GR"/>
        </w:rPr>
        <w:t xml:space="preserve">εγγραφής στη </w:t>
      </w:r>
      <w:proofErr w:type="spellStart"/>
      <w:r w:rsidRPr="00CF6AE8">
        <w:rPr>
          <w:rFonts w:ascii="Bookman Old Style" w:hAnsi="Bookman Old Style"/>
          <w:b/>
          <w:bCs/>
          <w:i/>
          <w:iCs/>
          <w:color w:val="000000"/>
          <w:sz w:val="28"/>
          <w:szCs w:val="28"/>
          <w:lang w:val="en-GB"/>
        </w:rPr>
        <w:t>Besuno</w:t>
      </w:r>
      <w:proofErr w:type="spellEnd"/>
      <w:r>
        <w:rPr>
          <w:rFonts w:ascii="Bookman Old Style" w:hAnsi="Bookman Old Style"/>
          <w:color w:val="000000"/>
          <w:sz w:val="28"/>
          <w:szCs w:val="28"/>
          <w:lang w:val="el-GR"/>
        </w:rPr>
        <w:t xml:space="preserve">, σε αντιδιαστολή με τη μη ύπαρξη τέτοιας μαρτυρίας στην υπό κρίση υπόθεση. </w:t>
      </w:r>
      <w:r w:rsidRPr="00CF6AE8">
        <w:rPr>
          <w:rFonts w:ascii="Bookman Old Style" w:hAnsi="Bookman Old Style"/>
          <w:color w:val="000000"/>
          <w:sz w:val="28"/>
          <w:szCs w:val="28"/>
          <w:lang w:val="el-GR"/>
        </w:rPr>
        <w:t xml:space="preserve"> </w:t>
      </w:r>
      <w:r>
        <w:rPr>
          <w:rFonts w:ascii="Bookman Old Style" w:hAnsi="Bookman Old Style"/>
          <w:color w:val="000000"/>
          <w:sz w:val="28"/>
          <w:szCs w:val="28"/>
          <w:lang w:val="el-GR"/>
        </w:rPr>
        <w:t>Και τούτο, καθότι η ύπαρξη εκκαθαρισμένης οφειλής δεν</w:t>
      </w:r>
      <w:r w:rsidR="00403905">
        <w:rPr>
          <w:rFonts w:ascii="Bookman Old Style" w:hAnsi="Bookman Old Style"/>
          <w:color w:val="000000"/>
          <w:sz w:val="28"/>
          <w:szCs w:val="28"/>
          <w:lang w:val="el-GR"/>
        </w:rPr>
        <w:t xml:space="preserve"> </w:t>
      </w:r>
      <w:r w:rsidR="00E40EDB">
        <w:rPr>
          <w:rFonts w:ascii="Bookman Old Style" w:hAnsi="Bookman Old Style"/>
          <w:color w:val="000000"/>
          <w:sz w:val="28"/>
          <w:szCs w:val="28"/>
          <w:lang w:val="el-GR"/>
        </w:rPr>
        <w:t xml:space="preserve">δύναται να θεωρείται πως δεν </w:t>
      </w:r>
      <w:r w:rsidR="00403905">
        <w:rPr>
          <w:rFonts w:ascii="Bookman Old Style" w:hAnsi="Bookman Old Style"/>
          <w:color w:val="000000"/>
          <w:sz w:val="28"/>
          <w:szCs w:val="28"/>
          <w:lang w:val="el-GR"/>
        </w:rPr>
        <w:t xml:space="preserve">υπάρχει </w:t>
      </w:r>
      <w:r>
        <w:rPr>
          <w:rFonts w:ascii="Bookman Old Style" w:hAnsi="Bookman Old Style"/>
          <w:color w:val="000000"/>
          <w:sz w:val="28"/>
          <w:szCs w:val="28"/>
          <w:lang w:val="el-GR"/>
        </w:rPr>
        <w:t>στις περιπτώσεις όπου έγινε προσπάθεια, μέσω δικαστικής διαδικασίας, για εγγραφή και αναγνώριση της η οποία και απέτυχε</w:t>
      </w:r>
      <w:r w:rsidR="00E31944">
        <w:rPr>
          <w:rFonts w:ascii="Bookman Old Style" w:hAnsi="Bookman Old Style"/>
          <w:color w:val="000000"/>
          <w:sz w:val="28"/>
          <w:szCs w:val="28"/>
          <w:lang w:val="el-GR"/>
        </w:rPr>
        <w:t>,</w:t>
      </w:r>
      <w:r>
        <w:rPr>
          <w:rFonts w:ascii="Bookman Old Style" w:hAnsi="Bookman Old Style"/>
          <w:color w:val="000000"/>
          <w:sz w:val="28"/>
          <w:szCs w:val="28"/>
          <w:lang w:val="el-GR"/>
        </w:rPr>
        <w:t xml:space="preserve"> </w:t>
      </w:r>
      <w:r w:rsidR="00E40EDB">
        <w:rPr>
          <w:rFonts w:ascii="Bookman Old Style" w:hAnsi="Bookman Old Style"/>
          <w:color w:val="000000"/>
          <w:sz w:val="28"/>
          <w:szCs w:val="28"/>
          <w:lang w:val="el-GR"/>
        </w:rPr>
        <w:t xml:space="preserve">αλλά να θεωρείται πως </w:t>
      </w:r>
      <w:r w:rsidR="00403905">
        <w:rPr>
          <w:rFonts w:ascii="Bookman Old Style" w:hAnsi="Bookman Old Style"/>
          <w:color w:val="000000"/>
          <w:sz w:val="28"/>
          <w:szCs w:val="28"/>
          <w:lang w:val="el-GR"/>
        </w:rPr>
        <w:t xml:space="preserve">υπάρχει </w:t>
      </w:r>
      <w:r>
        <w:rPr>
          <w:rFonts w:ascii="Bookman Old Style" w:hAnsi="Bookman Old Style"/>
          <w:color w:val="000000"/>
          <w:sz w:val="28"/>
          <w:szCs w:val="28"/>
          <w:lang w:val="el-GR"/>
        </w:rPr>
        <w:t xml:space="preserve">στις περιπτώσεις όπου δεν καταχωρίστηκε καν τέτοια διαδικασία, με άγνωστο το αποτέλεσμα της. </w:t>
      </w:r>
    </w:p>
    <w:p w14:paraId="58EB993B" w14:textId="7C3DE920" w:rsidR="00D963AE" w:rsidRDefault="00D963AE" w:rsidP="004B08EA">
      <w:pPr>
        <w:spacing w:before="24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Ο ισχυρισμός της </w:t>
      </w:r>
      <w:proofErr w:type="spellStart"/>
      <w:r>
        <w:rPr>
          <w:rFonts w:ascii="Bookman Old Style" w:hAnsi="Bookman Old Style"/>
          <w:color w:val="000000"/>
          <w:sz w:val="28"/>
          <w:szCs w:val="28"/>
          <w:lang w:val="el-GR"/>
        </w:rPr>
        <w:t>Εφεσείουσας</w:t>
      </w:r>
      <w:proofErr w:type="spellEnd"/>
      <w:r>
        <w:rPr>
          <w:rFonts w:ascii="Bookman Old Style" w:hAnsi="Bookman Old Style"/>
          <w:color w:val="000000"/>
          <w:sz w:val="28"/>
          <w:szCs w:val="28"/>
          <w:lang w:val="el-GR"/>
        </w:rPr>
        <w:t xml:space="preserve"> πως η οφειλή παρέμεινε αδιαμφισβήτητη δεν κρίνεται βάσιμος</w:t>
      </w:r>
      <w:r w:rsidR="00724255">
        <w:rPr>
          <w:rFonts w:ascii="Bookman Old Style" w:hAnsi="Bookman Old Style"/>
          <w:color w:val="000000"/>
          <w:sz w:val="28"/>
          <w:szCs w:val="28"/>
          <w:lang w:val="el-GR"/>
        </w:rPr>
        <w:t xml:space="preserve">. Όπως κατέγραψε και το πρωτόδικο Δικαστήριο, η Εφεσίβλητη </w:t>
      </w:r>
      <w:proofErr w:type="spellStart"/>
      <w:r w:rsidR="00724255">
        <w:rPr>
          <w:rFonts w:ascii="Bookman Old Style" w:hAnsi="Bookman Old Style"/>
          <w:color w:val="000000"/>
          <w:sz w:val="28"/>
          <w:szCs w:val="28"/>
          <w:lang w:val="el-GR"/>
        </w:rPr>
        <w:t>προέβαλε</w:t>
      </w:r>
      <w:proofErr w:type="spellEnd"/>
      <w:r>
        <w:rPr>
          <w:rFonts w:ascii="Bookman Old Style" w:hAnsi="Bookman Old Style"/>
          <w:color w:val="000000"/>
          <w:sz w:val="28"/>
          <w:szCs w:val="28"/>
          <w:lang w:val="el-GR"/>
        </w:rPr>
        <w:t xml:space="preserve"> ως λόγο ένστασης πως δεν υπήρχε εκκαθαρισμένη απαίτηση λόγω της μη εγγραφής και αναγνώρισης της διαιτητικής απόφασης, τον οποίο και ανέπτυξε στην ένορκη δήλωση που συνόδευε την ένσταση και προώθησε κατά την ακρόαση της αίτησης. Υπό το </w:t>
      </w:r>
      <w:r>
        <w:rPr>
          <w:rFonts w:ascii="Bookman Old Style" w:hAnsi="Bookman Old Style"/>
          <w:color w:val="000000"/>
          <w:sz w:val="28"/>
          <w:szCs w:val="28"/>
          <w:lang w:val="el-GR"/>
        </w:rPr>
        <w:lastRenderedPageBreak/>
        <w:t xml:space="preserve">φως αυτών των δεδομένων, η </w:t>
      </w:r>
      <w:proofErr w:type="spellStart"/>
      <w:r>
        <w:rPr>
          <w:rFonts w:ascii="Bookman Old Style" w:hAnsi="Bookman Old Style"/>
          <w:color w:val="000000"/>
          <w:sz w:val="28"/>
          <w:szCs w:val="28"/>
          <w:lang w:val="el-GR"/>
        </w:rPr>
        <w:t>Εφεσείουσα</w:t>
      </w:r>
      <w:proofErr w:type="spellEnd"/>
      <w:r>
        <w:rPr>
          <w:rFonts w:ascii="Bookman Old Style" w:hAnsi="Bookman Old Style"/>
          <w:color w:val="000000"/>
          <w:sz w:val="28"/>
          <w:szCs w:val="28"/>
          <w:lang w:val="el-GR"/>
        </w:rPr>
        <w:t xml:space="preserve">, ως </w:t>
      </w:r>
      <w:proofErr w:type="spellStart"/>
      <w:r>
        <w:rPr>
          <w:rFonts w:ascii="Bookman Old Style" w:hAnsi="Bookman Old Style"/>
          <w:color w:val="000000"/>
          <w:sz w:val="28"/>
          <w:szCs w:val="28"/>
          <w:lang w:val="el-GR"/>
        </w:rPr>
        <w:t>αιτήτρια</w:t>
      </w:r>
      <w:proofErr w:type="spellEnd"/>
      <w:r>
        <w:rPr>
          <w:rFonts w:ascii="Bookman Old Style" w:hAnsi="Bookman Old Style"/>
          <w:color w:val="000000"/>
          <w:sz w:val="28"/>
          <w:szCs w:val="28"/>
          <w:lang w:val="el-GR"/>
        </w:rPr>
        <w:t>, έφερε το βάρος να καταδείξει ότι ικανοποιούνται οι προϋποθέσεις που θέτουν τα σχετικά άρθρα για να δικαιολογείται η εκκαθάριση της Εφεσίβλητης.</w:t>
      </w:r>
      <w:r w:rsidR="008454BB">
        <w:rPr>
          <w:rFonts w:ascii="Bookman Old Style" w:hAnsi="Bookman Old Style"/>
          <w:color w:val="000000"/>
          <w:sz w:val="28"/>
          <w:szCs w:val="28"/>
          <w:lang w:val="el-GR"/>
        </w:rPr>
        <w:t xml:space="preserve"> </w:t>
      </w:r>
    </w:p>
    <w:p w14:paraId="5B3B8359" w14:textId="3B9B89F6" w:rsidR="00781FC6" w:rsidRDefault="000A1A10" w:rsidP="004B08EA">
      <w:pPr>
        <w:spacing w:before="24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Αυτή η προσέγγιση </w:t>
      </w:r>
      <w:r w:rsidR="002A0E01">
        <w:rPr>
          <w:rFonts w:ascii="Bookman Old Style" w:hAnsi="Bookman Old Style"/>
          <w:color w:val="000000"/>
          <w:sz w:val="28"/>
          <w:szCs w:val="28"/>
          <w:lang w:val="el-GR"/>
        </w:rPr>
        <w:t>ουδόλως οδηγεί σε «</w:t>
      </w:r>
      <w:r w:rsidR="002A0E01" w:rsidRPr="002A0E01">
        <w:rPr>
          <w:rFonts w:ascii="Bookman Old Style" w:hAnsi="Bookman Old Style"/>
          <w:i/>
          <w:iCs/>
          <w:color w:val="000000"/>
          <w:sz w:val="28"/>
          <w:szCs w:val="28"/>
          <w:lang w:val="el-GR"/>
        </w:rPr>
        <w:t>άδικο και παράλογο αποτέλεσμα</w:t>
      </w:r>
      <w:r w:rsidR="002A0E01">
        <w:rPr>
          <w:rFonts w:ascii="Bookman Old Style" w:hAnsi="Bookman Old Style"/>
          <w:color w:val="000000"/>
          <w:sz w:val="28"/>
          <w:szCs w:val="28"/>
          <w:lang w:val="el-GR"/>
        </w:rPr>
        <w:t>»</w:t>
      </w:r>
      <w:r w:rsidR="00090598">
        <w:rPr>
          <w:rFonts w:ascii="Bookman Old Style" w:hAnsi="Bookman Old Style"/>
          <w:color w:val="000000"/>
          <w:sz w:val="28"/>
          <w:szCs w:val="28"/>
          <w:lang w:val="el-GR"/>
        </w:rPr>
        <w:t xml:space="preserve">, ούτε και θέτει την </w:t>
      </w:r>
      <w:proofErr w:type="spellStart"/>
      <w:r w:rsidR="00090598">
        <w:rPr>
          <w:rFonts w:ascii="Bookman Old Style" w:hAnsi="Bookman Old Style"/>
          <w:color w:val="000000"/>
          <w:sz w:val="28"/>
          <w:szCs w:val="28"/>
          <w:lang w:val="el-GR"/>
        </w:rPr>
        <w:t>Εφεσείουσα</w:t>
      </w:r>
      <w:proofErr w:type="spellEnd"/>
      <w:r w:rsidR="00090598">
        <w:rPr>
          <w:rFonts w:ascii="Bookman Old Style" w:hAnsi="Bookman Old Style"/>
          <w:color w:val="000000"/>
          <w:sz w:val="28"/>
          <w:szCs w:val="28"/>
          <w:lang w:val="el-GR"/>
        </w:rPr>
        <w:t xml:space="preserve"> </w:t>
      </w:r>
      <w:r w:rsidR="002A0E01">
        <w:rPr>
          <w:rFonts w:ascii="Bookman Old Style" w:hAnsi="Bookman Old Style"/>
          <w:color w:val="000000"/>
          <w:sz w:val="28"/>
          <w:szCs w:val="28"/>
          <w:lang w:val="el-GR"/>
        </w:rPr>
        <w:t xml:space="preserve">σε δυσμενέστερη θέση από ό,τι </w:t>
      </w:r>
      <w:r w:rsidR="00D05081">
        <w:rPr>
          <w:rFonts w:ascii="Bookman Old Style" w:hAnsi="Bookman Old Style"/>
          <w:color w:val="000000"/>
          <w:sz w:val="28"/>
          <w:szCs w:val="28"/>
          <w:lang w:val="el-GR"/>
        </w:rPr>
        <w:t>εά</w:t>
      </w:r>
      <w:r w:rsidR="002A0E01">
        <w:rPr>
          <w:rFonts w:ascii="Bookman Old Style" w:hAnsi="Bookman Old Style"/>
          <w:color w:val="000000"/>
          <w:sz w:val="28"/>
          <w:szCs w:val="28"/>
          <w:lang w:val="el-GR"/>
        </w:rPr>
        <w:t>ν δεν είχε εκδοθεί η αλλοδαπή απόφαση υπέρ της, ως η εισήγηση της. Και τούτο καθότι</w:t>
      </w:r>
      <w:r>
        <w:rPr>
          <w:rFonts w:ascii="Bookman Old Style" w:hAnsi="Bookman Old Style"/>
          <w:color w:val="000000"/>
          <w:sz w:val="28"/>
          <w:szCs w:val="28"/>
          <w:lang w:val="el-GR"/>
        </w:rPr>
        <w:t>, ανεξαρτήτως της αυτονομίας της διαδικασίας εκκαθάρισης και της εγγραφής διαιτητικής απόφασης,</w:t>
      </w:r>
      <w:r w:rsidR="002A0E01">
        <w:rPr>
          <w:rFonts w:ascii="Bookman Old Style" w:hAnsi="Bookman Old Style"/>
          <w:color w:val="000000"/>
          <w:sz w:val="28"/>
          <w:szCs w:val="28"/>
          <w:lang w:val="el-GR"/>
        </w:rPr>
        <w:t xml:space="preserve"> η ίδια η </w:t>
      </w:r>
      <w:proofErr w:type="spellStart"/>
      <w:r w:rsidR="002A0E01">
        <w:rPr>
          <w:rFonts w:ascii="Bookman Old Style" w:hAnsi="Bookman Old Style"/>
          <w:color w:val="000000"/>
          <w:sz w:val="28"/>
          <w:szCs w:val="28"/>
          <w:lang w:val="el-GR"/>
        </w:rPr>
        <w:t>Εφεσείουσα</w:t>
      </w:r>
      <w:proofErr w:type="spellEnd"/>
      <w:r w:rsidR="002A0E01">
        <w:rPr>
          <w:rFonts w:ascii="Bookman Old Style" w:hAnsi="Bookman Old Style"/>
          <w:color w:val="000000"/>
          <w:sz w:val="28"/>
          <w:szCs w:val="28"/>
          <w:lang w:val="el-GR"/>
        </w:rPr>
        <w:t xml:space="preserve"> επέλεξε</w:t>
      </w:r>
      <w:r w:rsidR="00DE3DD9">
        <w:rPr>
          <w:rFonts w:ascii="Bookman Old Style" w:hAnsi="Bookman Old Style"/>
          <w:color w:val="000000"/>
          <w:sz w:val="28"/>
          <w:szCs w:val="28"/>
          <w:lang w:val="el-GR"/>
        </w:rPr>
        <w:t xml:space="preserve"> να προχωρήσει με τη διαδικα</w:t>
      </w:r>
      <w:r w:rsidR="00D91347">
        <w:rPr>
          <w:rFonts w:ascii="Bookman Old Style" w:hAnsi="Bookman Old Style"/>
          <w:color w:val="000000"/>
          <w:sz w:val="28"/>
          <w:szCs w:val="28"/>
          <w:lang w:val="el-GR"/>
        </w:rPr>
        <w:t xml:space="preserve">σία διαιτησίας και </w:t>
      </w:r>
      <w:r w:rsidR="00AE5F6D">
        <w:rPr>
          <w:rFonts w:ascii="Bookman Old Style" w:hAnsi="Bookman Old Style"/>
          <w:color w:val="000000"/>
          <w:sz w:val="28"/>
          <w:szCs w:val="28"/>
          <w:lang w:val="el-GR"/>
        </w:rPr>
        <w:t xml:space="preserve">να αποστείλει απαίτηση πληρωμής για το ποσό της διαιτητικής απόφασης και των εξόδων. </w:t>
      </w:r>
      <w:r w:rsidR="00696308">
        <w:rPr>
          <w:rFonts w:ascii="Bookman Old Style" w:hAnsi="Bookman Old Style"/>
          <w:color w:val="000000"/>
          <w:sz w:val="28"/>
          <w:szCs w:val="28"/>
          <w:lang w:val="el-GR"/>
        </w:rPr>
        <w:t xml:space="preserve">Επομένως, εκείνο το οποίο </w:t>
      </w:r>
      <w:r w:rsidR="00597979">
        <w:rPr>
          <w:rFonts w:ascii="Bookman Old Style" w:hAnsi="Bookman Old Style"/>
          <w:color w:val="000000"/>
          <w:sz w:val="28"/>
          <w:szCs w:val="28"/>
          <w:lang w:val="el-GR"/>
        </w:rPr>
        <w:t xml:space="preserve">ορθώς </w:t>
      </w:r>
      <w:r w:rsidR="00696308">
        <w:rPr>
          <w:rFonts w:ascii="Bookman Old Style" w:hAnsi="Bookman Old Style"/>
          <w:color w:val="000000"/>
          <w:sz w:val="28"/>
          <w:szCs w:val="28"/>
          <w:lang w:val="el-GR"/>
        </w:rPr>
        <w:t xml:space="preserve">ανέφερε το πρωτόδικο Δικαστήριο ήταν πως μόνο με τη </w:t>
      </w:r>
      <w:r w:rsidR="00690DF2">
        <w:rPr>
          <w:rFonts w:ascii="Bookman Old Style" w:hAnsi="Bookman Old Style"/>
          <w:color w:val="000000"/>
          <w:sz w:val="28"/>
          <w:szCs w:val="28"/>
          <w:lang w:val="el-GR"/>
        </w:rPr>
        <w:t xml:space="preserve">συνακόλουθη εγγραφή της εν λόγω διαιτητικής απόφασης θα δημιουργείτο εκκαθαρισμένο χρέος, το οποίο θα ικανοποιούσε τις πρόνοιες του </w:t>
      </w:r>
      <w:r w:rsidR="00690DF2" w:rsidRPr="00690DF2">
        <w:rPr>
          <w:rFonts w:ascii="Bookman Old Style" w:hAnsi="Bookman Old Style"/>
          <w:b/>
          <w:bCs/>
          <w:i/>
          <w:iCs/>
          <w:color w:val="000000"/>
          <w:sz w:val="28"/>
          <w:szCs w:val="28"/>
          <w:lang w:val="el-GR"/>
        </w:rPr>
        <w:t>άρθρου 212</w:t>
      </w:r>
      <w:r w:rsidR="00690DF2">
        <w:rPr>
          <w:rFonts w:ascii="Bookman Old Style" w:hAnsi="Bookman Old Style"/>
          <w:color w:val="000000"/>
          <w:sz w:val="28"/>
          <w:szCs w:val="28"/>
          <w:lang w:val="el-GR"/>
        </w:rPr>
        <w:t xml:space="preserve">. </w:t>
      </w:r>
      <w:r w:rsidR="00D05081">
        <w:rPr>
          <w:rFonts w:ascii="Bookman Old Style" w:hAnsi="Bookman Old Style"/>
          <w:color w:val="000000"/>
          <w:sz w:val="28"/>
          <w:szCs w:val="28"/>
          <w:lang w:val="el-GR"/>
        </w:rPr>
        <w:t xml:space="preserve">Διαφορετικά, σε περίπτωση που η </w:t>
      </w:r>
      <w:proofErr w:type="spellStart"/>
      <w:r w:rsidR="00D05081">
        <w:rPr>
          <w:rFonts w:ascii="Bookman Old Style" w:hAnsi="Bookman Old Style"/>
          <w:color w:val="000000"/>
          <w:sz w:val="28"/>
          <w:szCs w:val="28"/>
          <w:lang w:val="el-GR"/>
        </w:rPr>
        <w:t>Εφεσείουσα</w:t>
      </w:r>
      <w:proofErr w:type="spellEnd"/>
      <w:r w:rsidR="00D05081">
        <w:rPr>
          <w:rFonts w:ascii="Bookman Old Style" w:hAnsi="Bookman Old Style"/>
          <w:color w:val="000000"/>
          <w:sz w:val="28"/>
          <w:szCs w:val="28"/>
          <w:lang w:val="el-GR"/>
        </w:rPr>
        <w:t xml:space="preserve"> δεν προωθούσε διαιτητική διαδικασία και δεν εξασφάλιζε διαιτητική απόφαση και η απαίτηση πληρωμής βασιζόταν στην οφειλή δυνάμει της συμφωνίας, τότε η αίτηση εκκαθάρισης θα </w:t>
      </w:r>
      <w:proofErr w:type="spellStart"/>
      <w:r w:rsidR="00D05081">
        <w:rPr>
          <w:rFonts w:ascii="Bookman Old Style" w:hAnsi="Bookman Old Style"/>
          <w:color w:val="000000"/>
          <w:sz w:val="28"/>
          <w:szCs w:val="28"/>
          <w:lang w:val="el-GR"/>
        </w:rPr>
        <w:t>εξετάζετο</w:t>
      </w:r>
      <w:proofErr w:type="spellEnd"/>
      <w:r w:rsidR="00D05081">
        <w:rPr>
          <w:rFonts w:ascii="Bookman Old Style" w:hAnsi="Bookman Old Style"/>
          <w:color w:val="000000"/>
          <w:sz w:val="28"/>
          <w:szCs w:val="28"/>
          <w:lang w:val="el-GR"/>
        </w:rPr>
        <w:t xml:space="preserve"> σε εκείνο το πλαίσιο γεγονότων, με βάση πάντοτε τις πρόνοιες του </w:t>
      </w:r>
      <w:r w:rsidR="00D05081" w:rsidRPr="00D05081">
        <w:rPr>
          <w:rFonts w:ascii="Bookman Old Style" w:hAnsi="Bookman Old Style"/>
          <w:b/>
          <w:bCs/>
          <w:i/>
          <w:iCs/>
          <w:color w:val="000000"/>
          <w:sz w:val="28"/>
          <w:szCs w:val="28"/>
          <w:lang w:val="el-GR"/>
        </w:rPr>
        <w:t>άρθρου 212(α</w:t>
      </w:r>
      <w:r w:rsidR="00BA3DE1">
        <w:rPr>
          <w:rFonts w:ascii="Bookman Old Style" w:hAnsi="Bookman Old Style"/>
          <w:b/>
          <w:bCs/>
          <w:i/>
          <w:iCs/>
          <w:color w:val="000000"/>
          <w:sz w:val="28"/>
          <w:szCs w:val="28"/>
          <w:lang w:val="el-GR"/>
        </w:rPr>
        <w:t>)</w:t>
      </w:r>
      <w:r w:rsidR="00BA3DE1">
        <w:rPr>
          <w:rFonts w:ascii="Bookman Old Style" w:hAnsi="Bookman Old Style"/>
          <w:color w:val="000000"/>
          <w:sz w:val="28"/>
          <w:szCs w:val="28"/>
          <w:lang w:val="el-GR"/>
        </w:rPr>
        <w:t xml:space="preserve">. Επομένως η </w:t>
      </w:r>
      <w:proofErr w:type="spellStart"/>
      <w:r w:rsidR="00BA3DE1">
        <w:rPr>
          <w:rFonts w:ascii="Bookman Old Style" w:hAnsi="Bookman Old Style"/>
          <w:color w:val="000000"/>
          <w:sz w:val="28"/>
          <w:szCs w:val="28"/>
          <w:lang w:val="el-GR"/>
        </w:rPr>
        <w:t>Εφεσείουσα</w:t>
      </w:r>
      <w:proofErr w:type="spellEnd"/>
      <w:r w:rsidR="00BA3DE1">
        <w:rPr>
          <w:rFonts w:ascii="Bookman Old Style" w:hAnsi="Bookman Old Style"/>
          <w:color w:val="000000"/>
          <w:sz w:val="28"/>
          <w:szCs w:val="28"/>
          <w:lang w:val="el-GR"/>
        </w:rPr>
        <w:t xml:space="preserve"> δεν θα </w:t>
      </w:r>
      <w:proofErr w:type="spellStart"/>
      <w:r w:rsidR="00BA3DE1">
        <w:rPr>
          <w:rFonts w:ascii="Bookman Old Style" w:hAnsi="Bookman Old Style"/>
          <w:color w:val="000000"/>
          <w:sz w:val="28"/>
          <w:szCs w:val="28"/>
          <w:lang w:val="el-GR"/>
        </w:rPr>
        <w:t>εστερείτο</w:t>
      </w:r>
      <w:proofErr w:type="spellEnd"/>
      <w:r w:rsidR="00BA3DE1">
        <w:rPr>
          <w:rFonts w:ascii="Bookman Old Style" w:hAnsi="Bookman Old Style"/>
          <w:color w:val="000000"/>
          <w:sz w:val="28"/>
          <w:szCs w:val="28"/>
          <w:lang w:val="el-GR"/>
        </w:rPr>
        <w:t xml:space="preserve"> του οποιουδήποτε δικαιώματος της προώθησης </w:t>
      </w:r>
      <w:r w:rsidR="00BA3DE1">
        <w:rPr>
          <w:rFonts w:ascii="Bookman Old Style" w:hAnsi="Bookman Old Style"/>
          <w:color w:val="000000"/>
          <w:sz w:val="28"/>
          <w:szCs w:val="28"/>
          <w:lang w:val="el-GR"/>
        </w:rPr>
        <w:lastRenderedPageBreak/>
        <w:t xml:space="preserve">διαδικασίας εκκαθάρισης, απλώς η αίτηση της θα τύγχανε εξέτασης σε διαφορετική βάση. </w:t>
      </w:r>
    </w:p>
    <w:p w14:paraId="03444182" w14:textId="4398137A" w:rsidR="00434C2C" w:rsidRDefault="005D6E67" w:rsidP="004B08EA">
      <w:pPr>
        <w:spacing w:before="24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Ως εκ τούτου, </w:t>
      </w:r>
      <w:r w:rsidR="000570B8">
        <w:rPr>
          <w:rFonts w:ascii="Bookman Old Style" w:hAnsi="Bookman Old Style"/>
          <w:color w:val="000000"/>
          <w:sz w:val="28"/>
          <w:szCs w:val="28"/>
          <w:lang w:val="el-GR"/>
        </w:rPr>
        <w:t xml:space="preserve">θεωρούμε ότι </w:t>
      </w:r>
      <w:r w:rsidR="00434C2C">
        <w:rPr>
          <w:rFonts w:ascii="Bookman Old Style" w:hAnsi="Bookman Old Style"/>
          <w:color w:val="000000"/>
          <w:sz w:val="28"/>
          <w:szCs w:val="28"/>
          <w:lang w:val="el-GR"/>
        </w:rPr>
        <w:t xml:space="preserve">τόσο η ερμηνεία όσο και η προσέγγιση του πρωτόδικου Δικαστηρίου αναφορικά με την υπόθεση </w:t>
      </w:r>
      <w:proofErr w:type="spellStart"/>
      <w:r w:rsidR="00434C2C" w:rsidRPr="00656B82">
        <w:rPr>
          <w:rFonts w:ascii="Bookman Old Style" w:hAnsi="Bookman Old Style"/>
          <w:b/>
          <w:bCs/>
          <w:i/>
          <w:iCs/>
          <w:color w:val="000000"/>
          <w:sz w:val="28"/>
          <w:szCs w:val="28"/>
          <w:lang w:val="en-GB"/>
        </w:rPr>
        <w:t>Besuno</w:t>
      </w:r>
      <w:proofErr w:type="spellEnd"/>
      <w:r w:rsidR="00434C2C" w:rsidRPr="00656B82">
        <w:rPr>
          <w:rFonts w:ascii="Bookman Old Style" w:hAnsi="Bookman Old Style"/>
          <w:b/>
          <w:bCs/>
          <w:i/>
          <w:iCs/>
          <w:color w:val="000000"/>
          <w:sz w:val="28"/>
          <w:szCs w:val="28"/>
          <w:lang w:val="el-GR"/>
        </w:rPr>
        <w:t xml:space="preserve"> </w:t>
      </w:r>
      <w:r w:rsidR="00434C2C">
        <w:rPr>
          <w:rFonts w:ascii="Bookman Old Style" w:hAnsi="Bookman Old Style"/>
          <w:color w:val="000000"/>
          <w:sz w:val="28"/>
          <w:szCs w:val="28"/>
          <w:lang w:val="el-GR"/>
        </w:rPr>
        <w:t xml:space="preserve">και την εφαρμογή της στην υπό κρίση περίπτωση ήταν ορθή. </w:t>
      </w:r>
    </w:p>
    <w:p w14:paraId="4A6ED7CE" w14:textId="4221A873" w:rsidR="00AE5965" w:rsidRDefault="00AE5965" w:rsidP="004B08EA">
      <w:pPr>
        <w:spacing w:before="24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Οι πιο πάνω διαπιστώσεις μας καθιστούν και τον δεύτερο λόγο έφεσης αβάσιμο, καθότι είναι ορθή η κατάληξη του πρωτόδικου Δικαστηρίου πως η ειδοποίηση απαίτησης </w:t>
      </w:r>
      <w:proofErr w:type="spellStart"/>
      <w:r>
        <w:rPr>
          <w:rFonts w:ascii="Bookman Old Style" w:hAnsi="Bookman Old Style"/>
          <w:color w:val="000000"/>
          <w:sz w:val="28"/>
          <w:szCs w:val="28"/>
          <w:lang w:val="el-GR"/>
        </w:rPr>
        <w:t>βασίζετ</w:t>
      </w:r>
      <w:r w:rsidR="007D378F">
        <w:rPr>
          <w:rFonts w:ascii="Bookman Old Style" w:hAnsi="Bookman Old Style"/>
          <w:color w:val="000000"/>
          <w:sz w:val="28"/>
          <w:szCs w:val="28"/>
          <w:lang w:val="el-GR"/>
        </w:rPr>
        <w:t>ο</w:t>
      </w:r>
      <w:proofErr w:type="spellEnd"/>
      <w:r>
        <w:rPr>
          <w:rFonts w:ascii="Bookman Old Style" w:hAnsi="Bookman Old Style"/>
          <w:color w:val="000000"/>
          <w:sz w:val="28"/>
          <w:szCs w:val="28"/>
          <w:lang w:val="el-GR"/>
        </w:rPr>
        <w:t xml:space="preserve"> στην </w:t>
      </w:r>
      <w:proofErr w:type="spellStart"/>
      <w:r>
        <w:rPr>
          <w:rFonts w:ascii="Bookman Old Style" w:hAnsi="Bookman Old Style"/>
          <w:color w:val="000000"/>
          <w:sz w:val="28"/>
          <w:szCs w:val="28"/>
          <w:lang w:val="el-GR"/>
        </w:rPr>
        <w:t>εκδοθείσα</w:t>
      </w:r>
      <w:proofErr w:type="spellEnd"/>
      <w:r>
        <w:rPr>
          <w:rFonts w:ascii="Bookman Old Style" w:hAnsi="Bookman Old Style"/>
          <w:color w:val="000000"/>
          <w:sz w:val="28"/>
          <w:szCs w:val="28"/>
          <w:lang w:val="el-GR"/>
        </w:rPr>
        <w:t xml:space="preserve"> διαιτητική απόφαση. </w:t>
      </w:r>
    </w:p>
    <w:p w14:paraId="5C627D59" w14:textId="1606733B" w:rsidR="00FC0AC7" w:rsidRDefault="00FC0AC7" w:rsidP="004B08EA">
      <w:pPr>
        <w:spacing w:before="24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Με τον τρίτο λόγο έφεσης, η </w:t>
      </w:r>
      <w:proofErr w:type="spellStart"/>
      <w:r>
        <w:rPr>
          <w:rFonts w:ascii="Bookman Old Style" w:hAnsi="Bookman Old Style"/>
          <w:color w:val="000000"/>
          <w:sz w:val="28"/>
          <w:szCs w:val="28"/>
          <w:lang w:val="el-GR"/>
        </w:rPr>
        <w:t>Εφεσείουσα</w:t>
      </w:r>
      <w:proofErr w:type="spellEnd"/>
      <w:r>
        <w:rPr>
          <w:rFonts w:ascii="Bookman Old Style" w:hAnsi="Bookman Old Style"/>
          <w:color w:val="000000"/>
          <w:sz w:val="28"/>
          <w:szCs w:val="28"/>
          <w:lang w:val="el-GR"/>
        </w:rPr>
        <w:t xml:space="preserve"> επιζητεί </w:t>
      </w:r>
      <w:r w:rsidR="00EB7054">
        <w:rPr>
          <w:rFonts w:ascii="Bookman Old Style" w:hAnsi="Bookman Old Style"/>
          <w:color w:val="000000"/>
          <w:sz w:val="28"/>
          <w:szCs w:val="28"/>
          <w:lang w:val="el-GR"/>
        </w:rPr>
        <w:t>όπως</w:t>
      </w:r>
      <w:r w:rsidR="003D385E">
        <w:rPr>
          <w:rFonts w:ascii="Bookman Old Style" w:hAnsi="Bookman Old Style"/>
          <w:color w:val="000000"/>
          <w:sz w:val="28"/>
          <w:szCs w:val="28"/>
          <w:lang w:val="el-GR"/>
        </w:rPr>
        <w:t>,</w:t>
      </w:r>
      <w:r w:rsidR="00EB7054">
        <w:rPr>
          <w:rFonts w:ascii="Bookman Old Style" w:hAnsi="Bookman Old Style"/>
          <w:color w:val="000000"/>
          <w:sz w:val="28"/>
          <w:szCs w:val="28"/>
          <w:lang w:val="el-GR"/>
        </w:rPr>
        <w:t xml:space="preserve"> σε περίπτωση που ήθελε κριθεί ότι η </w:t>
      </w:r>
      <w:proofErr w:type="spellStart"/>
      <w:r w:rsidR="00EB7054" w:rsidRPr="00EB7054">
        <w:rPr>
          <w:rFonts w:ascii="Bookman Old Style" w:hAnsi="Bookman Old Style"/>
          <w:b/>
          <w:bCs/>
          <w:i/>
          <w:iCs/>
          <w:color w:val="000000"/>
          <w:sz w:val="28"/>
          <w:szCs w:val="28"/>
          <w:lang w:val="en-GB"/>
        </w:rPr>
        <w:t>Besuno</w:t>
      </w:r>
      <w:proofErr w:type="spellEnd"/>
      <w:r w:rsidR="00EB7054" w:rsidRPr="00EB7054">
        <w:rPr>
          <w:rFonts w:ascii="Bookman Old Style" w:hAnsi="Bookman Old Style"/>
          <w:color w:val="000000"/>
          <w:sz w:val="28"/>
          <w:szCs w:val="28"/>
          <w:lang w:val="el-GR"/>
        </w:rPr>
        <w:t xml:space="preserve"> </w:t>
      </w:r>
      <w:r w:rsidR="00EB7054">
        <w:rPr>
          <w:rFonts w:ascii="Bookman Old Style" w:hAnsi="Bookman Old Style"/>
          <w:color w:val="000000"/>
          <w:sz w:val="28"/>
          <w:szCs w:val="28"/>
          <w:lang w:val="el-GR"/>
        </w:rPr>
        <w:t>τυγχάνει εφαρμογής,</w:t>
      </w:r>
      <w:r>
        <w:rPr>
          <w:rFonts w:ascii="Bookman Old Style" w:hAnsi="Bookman Old Style"/>
          <w:color w:val="000000"/>
          <w:sz w:val="28"/>
          <w:szCs w:val="28"/>
          <w:lang w:val="el-GR"/>
        </w:rPr>
        <w:t xml:space="preserve"> το Ανώτατο Δικαστήριο </w:t>
      </w:r>
      <w:proofErr w:type="spellStart"/>
      <w:r>
        <w:rPr>
          <w:rFonts w:ascii="Bookman Old Style" w:hAnsi="Bookman Old Style"/>
          <w:color w:val="000000"/>
          <w:sz w:val="28"/>
          <w:szCs w:val="28"/>
          <w:lang w:val="el-GR"/>
        </w:rPr>
        <w:t>αποστεί</w:t>
      </w:r>
      <w:proofErr w:type="spellEnd"/>
      <w:r>
        <w:rPr>
          <w:rFonts w:ascii="Bookman Old Style" w:hAnsi="Bookman Old Style"/>
          <w:color w:val="000000"/>
          <w:sz w:val="28"/>
          <w:szCs w:val="28"/>
          <w:lang w:val="el-GR"/>
        </w:rPr>
        <w:t xml:space="preserve"> από την αρχή που έθεσε η </w:t>
      </w:r>
      <w:r w:rsidR="003D385E">
        <w:rPr>
          <w:rFonts w:ascii="Bookman Old Style" w:hAnsi="Bookman Old Style"/>
          <w:color w:val="000000"/>
          <w:sz w:val="28"/>
          <w:szCs w:val="28"/>
          <w:lang w:val="el-GR"/>
        </w:rPr>
        <w:t>εν λόγω υπόθεση</w:t>
      </w:r>
      <w:r w:rsidR="00806C3F">
        <w:rPr>
          <w:rFonts w:ascii="Bookman Old Style" w:hAnsi="Bookman Old Style"/>
          <w:color w:val="000000"/>
          <w:sz w:val="28"/>
          <w:szCs w:val="28"/>
          <w:lang w:val="el-GR"/>
        </w:rPr>
        <w:t>,</w:t>
      </w:r>
      <w:r w:rsidR="003D385E">
        <w:rPr>
          <w:rFonts w:ascii="Bookman Old Style" w:hAnsi="Bookman Old Style"/>
          <w:color w:val="000000"/>
          <w:sz w:val="28"/>
          <w:szCs w:val="28"/>
          <w:lang w:val="el-GR"/>
        </w:rPr>
        <w:t xml:space="preserve"> </w:t>
      </w:r>
      <w:r w:rsidR="004962BC">
        <w:rPr>
          <w:rFonts w:ascii="Bookman Old Style" w:hAnsi="Bookman Old Style"/>
          <w:color w:val="000000"/>
          <w:sz w:val="28"/>
          <w:szCs w:val="28"/>
          <w:lang w:val="el-GR"/>
        </w:rPr>
        <w:t xml:space="preserve">ως αντίθετη με </w:t>
      </w:r>
      <w:r w:rsidR="00856C19">
        <w:rPr>
          <w:rFonts w:ascii="Bookman Old Style" w:hAnsi="Bookman Old Style"/>
          <w:color w:val="000000"/>
          <w:sz w:val="28"/>
          <w:szCs w:val="28"/>
          <w:lang w:val="el-GR"/>
        </w:rPr>
        <w:t xml:space="preserve">το </w:t>
      </w:r>
      <w:proofErr w:type="spellStart"/>
      <w:r w:rsidR="00856C19">
        <w:rPr>
          <w:rFonts w:ascii="Bookman Old Style" w:hAnsi="Bookman Old Style"/>
          <w:color w:val="000000"/>
          <w:sz w:val="28"/>
          <w:szCs w:val="28"/>
          <w:lang w:val="el-GR"/>
        </w:rPr>
        <w:t>κοινοδίκαιο</w:t>
      </w:r>
      <w:proofErr w:type="spellEnd"/>
      <w:r w:rsidR="002F5456">
        <w:rPr>
          <w:rFonts w:ascii="Bookman Old Style" w:hAnsi="Bookman Old Style"/>
          <w:color w:val="000000"/>
          <w:sz w:val="28"/>
          <w:szCs w:val="28"/>
          <w:lang w:val="el-GR"/>
        </w:rPr>
        <w:t xml:space="preserve"> και να καθιερώσει την αρχή</w:t>
      </w:r>
      <w:r>
        <w:rPr>
          <w:rFonts w:ascii="Bookman Old Style" w:hAnsi="Bookman Old Style"/>
          <w:color w:val="000000"/>
          <w:sz w:val="28"/>
          <w:szCs w:val="28"/>
          <w:lang w:val="el-GR"/>
        </w:rPr>
        <w:t xml:space="preserve"> πως ειδοποίηση απαίτησης που στηρίζεται σε διαιτητική απόφαση δύναται να καταδεικνύει εκκαθαρισμένη οφειλή</w:t>
      </w:r>
      <w:r w:rsidR="00806C3F">
        <w:rPr>
          <w:rFonts w:ascii="Bookman Old Style" w:hAnsi="Bookman Old Style"/>
          <w:color w:val="000000"/>
          <w:sz w:val="28"/>
          <w:szCs w:val="28"/>
          <w:lang w:val="el-GR"/>
        </w:rPr>
        <w:t>,</w:t>
      </w:r>
      <w:r>
        <w:rPr>
          <w:rFonts w:ascii="Bookman Old Style" w:hAnsi="Bookman Old Style"/>
          <w:color w:val="000000"/>
          <w:sz w:val="28"/>
          <w:szCs w:val="28"/>
          <w:lang w:val="el-GR"/>
        </w:rPr>
        <w:t xml:space="preserve"> χωρίς την ανάγκη εγγραφής της. </w:t>
      </w:r>
    </w:p>
    <w:p w14:paraId="3DF339D3" w14:textId="77777777" w:rsidR="00C66B67" w:rsidRDefault="002D078A" w:rsidP="004B08EA">
      <w:pPr>
        <w:spacing w:before="24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Σύμφωνα με όλα όσα αναφέρονται ανωτέρω, τα όσα λέχθηκαν στη </w:t>
      </w:r>
      <w:proofErr w:type="spellStart"/>
      <w:r w:rsidRPr="00806C3F">
        <w:rPr>
          <w:rFonts w:ascii="Bookman Old Style" w:hAnsi="Bookman Old Style"/>
          <w:b/>
          <w:bCs/>
          <w:i/>
          <w:iCs/>
          <w:color w:val="000000"/>
          <w:sz w:val="28"/>
          <w:szCs w:val="28"/>
        </w:rPr>
        <w:t>Besuno</w:t>
      </w:r>
      <w:proofErr w:type="spellEnd"/>
      <w:r w:rsidRPr="002D078A">
        <w:rPr>
          <w:rFonts w:ascii="Bookman Old Style" w:hAnsi="Bookman Old Style"/>
          <w:color w:val="000000"/>
          <w:sz w:val="28"/>
          <w:szCs w:val="28"/>
          <w:lang w:val="el-GR"/>
        </w:rPr>
        <w:t xml:space="preserve"> </w:t>
      </w:r>
      <w:r>
        <w:rPr>
          <w:rFonts w:ascii="Bookman Old Style" w:hAnsi="Bookman Old Style"/>
          <w:color w:val="000000"/>
          <w:sz w:val="28"/>
          <w:szCs w:val="28"/>
          <w:lang w:val="el-GR"/>
        </w:rPr>
        <w:t xml:space="preserve">μας βρίσκουν πλήρως σύμφωνους. Επομένως την υιοθετούμε, χωρίς να τίθεται ζήτημα μη εφαρμογής </w:t>
      </w:r>
      <w:r w:rsidR="0030567B">
        <w:rPr>
          <w:rFonts w:ascii="Bookman Old Style" w:hAnsi="Bookman Old Style"/>
          <w:color w:val="000000"/>
          <w:sz w:val="28"/>
          <w:szCs w:val="28"/>
          <w:lang w:val="el-GR"/>
        </w:rPr>
        <w:t xml:space="preserve">της </w:t>
      </w:r>
      <w:r>
        <w:rPr>
          <w:rFonts w:ascii="Bookman Old Style" w:hAnsi="Bookman Old Style"/>
          <w:color w:val="000000"/>
          <w:sz w:val="28"/>
          <w:szCs w:val="28"/>
          <w:lang w:val="el-GR"/>
        </w:rPr>
        <w:t xml:space="preserve">ή απόκλισης από αυτή. </w:t>
      </w:r>
    </w:p>
    <w:p w14:paraId="1276AE11" w14:textId="0D277654" w:rsidR="00583104" w:rsidRPr="00C66B67" w:rsidRDefault="00583104" w:rsidP="004B08EA">
      <w:pPr>
        <w:spacing w:before="240" w:line="480" w:lineRule="auto"/>
        <w:ind w:firstLine="567"/>
        <w:jc w:val="both"/>
        <w:rPr>
          <w:rFonts w:ascii="Bookman Old Style" w:hAnsi="Bookman Old Style"/>
          <w:color w:val="000000"/>
          <w:sz w:val="28"/>
          <w:szCs w:val="28"/>
          <w:lang w:val="el-GR"/>
        </w:rPr>
      </w:pPr>
      <w:r>
        <w:rPr>
          <w:rFonts w:ascii="Bookman Old Style" w:eastAsia="Times New Roman" w:hAnsi="Bookman Old Style" w:cs="Times New Roman"/>
          <w:color w:val="000000"/>
          <w:kern w:val="0"/>
          <w:sz w:val="28"/>
          <w:szCs w:val="28"/>
          <w:lang w:val="el-GR"/>
          <w14:ligatures w14:val="none"/>
        </w:rPr>
        <w:t>Και ο τρίτος λόγος έφεσης κρίνεται αβάσιμος.</w:t>
      </w:r>
    </w:p>
    <w:p w14:paraId="7034D419" w14:textId="3A5E7200" w:rsidR="00583104" w:rsidRDefault="00583104" w:rsidP="00D636C1">
      <w:pPr>
        <w:tabs>
          <w:tab w:val="left" w:pos="720"/>
        </w:tabs>
        <w:spacing w:before="100" w:beforeAutospacing="1"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lastRenderedPageBreak/>
        <w:t xml:space="preserve">Η Έφεση απορρίπτεται. Ενόψει του ότι η Εφεσίβλητη εκπροσωπήθηκε μόνο στο αρχικό στάδιο από δικηγόρο και ακολούθως δεν συμμετείχε στη διαδικασία, κρίνουμε ορθό και δίκαιο όπως μην εκδοθεί οποιαδήποτε διαταγή για έξοδα. </w:t>
      </w:r>
    </w:p>
    <w:p w14:paraId="2E02B37C" w14:textId="77777777" w:rsidR="00D636C1" w:rsidRDefault="00D636C1" w:rsidP="006D26FE">
      <w:pPr>
        <w:tabs>
          <w:tab w:val="left" w:pos="720"/>
        </w:tabs>
        <w:spacing w:before="100" w:beforeAutospacing="1" w:after="100" w:afterAutospacing="1" w:line="720" w:lineRule="auto"/>
        <w:ind w:firstLine="567"/>
        <w:jc w:val="both"/>
        <w:rPr>
          <w:rFonts w:ascii="Bookman Old Style" w:eastAsia="Times New Roman" w:hAnsi="Bookman Old Style" w:cs="Times New Roman"/>
          <w:color w:val="000000"/>
          <w:kern w:val="0"/>
          <w:sz w:val="28"/>
          <w:szCs w:val="28"/>
          <w:lang w:val="el-GR"/>
          <w14:ligatures w14:val="none"/>
        </w:rPr>
      </w:pPr>
    </w:p>
    <w:p w14:paraId="48DD7209" w14:textId="4ACC02BF" w:rsidR="00D636C1" w:rsidRDefault="00D636C1" w:rsidP="006D26FE">
      <w:pPr>
        <w:tabs>
          <w:tab w:val="left" w:pos="720"/>
        </w:tabs>
        <w:spacing w:before="100" w:beforeAutospacing="1" w:after="100" w:afterAutospacing="1" w:line="72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t>Χ. ΜΑΛΑΧΤΟΣ, Δ.</w:t>
      </w:r>
    </w:p>
    <w:p w14:paraId="7A140396" w14:textId="0D6431ED" w:rsidR="00D636C1" w:rsidRDefault="00D636C1" w:rsidP="006D26FE">
      <w:pPr>
        <w:tabs>
          <w:tab w:val="left" w:pos="720"/>
        </w:tabs>
        <w:spacing w:before="100" w:beforeAutospacing="1" w:after="100" w:afterAutospacing="1" w:line="72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t>Ι. ΙΩΑΝΝΙΔΗΣ, Δ.</w:t>
      </w:r>
    </w:p>
    <w:p w14:paraId="30AAD5ED" w14:textId="46C5C2D8" w:rsidR="00D636C1" w:rsidRDefault="00D636C1" w:rsidP="006D26FE">
      <w:pPr>
        <w:tabs>
          <w:tab w:val="left" w:pos="720"/>
        </w:tabs>
        <w:spacing w:before="100" w:beforeAutospacing="1" w:after="100" w:afterAutospacing="1" w:line="72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t>Ε. ΕΦΡΑΙΜ, Δ.</w:t>
      </w:r>
    </w:p>
    <w:p w14:paraId="4486B5C6" w14:textId="77777777" w:rsidR="006D26FE" w:rsidRDefault="006D26FE" w:rsidP="00D636C1">
      <w:pPr>
        <w:tabs>
          <w:tab w:val="left" w:pos="720"/>
        </w:tabs>
        <w:spacing w:before="100" w:beforeAutospacing="1"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p>
    <w:p w14:paraId="71C1DA29" w14:textId="77777777" w:rsidR="006D26FE" w:rsidRDefault="006D26FE" w:rsidP="00D636C1">
      <w:pPr>
        <w:tabs>
          <w:tab w:val="left" w:pos="720"/>
        </w:tabs>
        <w:spacing w:before="100" w:beforeAutospacing="1"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p>
    <w:p w14:paraId="2481D1BC" w14:textId="77777777" w:rsidR="004B08EA" w:rsidRDefault="004B08EA" w:rsidP="00D636C1">
      <w:pPr>
        <w:tabs>
          <w:tab w:val="left" w:pos="720"/>
        </w:tabs>
        <w:spacing w:before="100" w:beforeAutospacing="1"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p>
    <w:p w14:paraId="5AE60BA4" w14:textId="77777777" w:rsidR="006D26FE" w:rsidRDefault="006D26FE" w:rsidP="00D636C1">
      <w:pPr>
        <w:tabs>
          <w:tab w:val="left" w:pos="720"/>
        </w:tabs>
        <w:spacing w:before="100" w:beforeAutospacing="1"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p>
    <w:p w14:paraId="19CBF78D" w14:textId="5E3BC70D" w:rsidR="00D636C1" w:rsidRPr="00135543" w:rsidRDefault="00D636C1" w:rsidP="004B08EA">
      <w:pPr>
        <w:tabs>
          <w:tab w:val="left" w:pos="720"/>
        </w:tabs>
        <w:spacing w:before="100" w:beforeAutospacing="1" w:after="100" w:afterAutospacing="1" w:line="480" w:lineRule="auto"/>
        <w:ind w:firstLine="567"/>
        <w:jc w:val="both"/>
        <w:rPr>
          <w:rFonts w:ascii="Bookman Old Style" w:eastAsia="Times New Roman" w:hAnsi="Bookman Old Style" w:cs="Times New Roman"/>
          <w:color w:val="000000"/>
          <w:kern w:val="0"/>
          <w:sz w:val="28"/>
          <w:szCs w:val="28"/>
          <w14:ligatures w14:val="none"/>
        </w:rPr>
      </w:pPr>
      <w:r>
        <w:rPr>
          <w:rFonts w:ascii="Bookman Old Style" w:eastAsia="Times New Roman" w:hAnsi="Bookman Old Style" w:cs="Times New Roman"/>
          <w:color w:val="000000"/>
          <w:kern w:val="0"/>
          <w:sz w:val="28"/>
          <w:szCs w:val="28"/>
          <w:lang w:val="el-GR"/>
          <w14:ligatures w14:val="none"/>
        </w:rPr>
        <w:t>/</w:t>
      </w:r>
      <w:proofErr w:type="spellStart"/>
      <w:r>
        <w:rPr>
          <w:rFonts w:ascii="Bookman Old Style" w:eastAsia="Times New Roman" w:hAnsi="Bookman Old Style" w:cs="Times New Roman"/>
          <w:color w:val="000000"/>
          <w:kern w:val="0"/>
          <w:sz w:val="28"/>
          <w:szCs w:val="28"/>
          <w:lang w:val="el-GR"/>
          <w14:ligatures w14:val="none"/>
        </w:rPr>
        <w:t>κβπ</w:t>
      </w:r>
      <w:proofErr w:type="spellEnd"/>
      <w:r>
        <w:rPr>
          <w:rFonts w:ascii="Bookman Old Style" w:eastAsia="Times New Roman" w:hAnsi="Bookman Old Style" w:cs="Times New Roman"/>
          <w:color w:val="000000"/>
          <w:kern w:val="0"/>
          <w:sz w:val="28"/>
          <w:szCs w:val="28"/>
          <w:lang w:val="el-GR"/>
          <w14:ligatures w14:val="none"/>
        </w:rPr>
        <w:tab/>
      </w:r>
      <w:r w:rsidR="005F758C">
        <w:rPr>
          <w:rFonts w:ascii="Bookman Old Style" w:eastAsia="Times New Roman" w:hAnsi="Bookman Old Style" w:cs="Times New Roman"/>
          <w:color w:val="000000"/>
          <w:kern w:val="0"/>
          <w:sz w:val="28"/>
          <w:szCs w:val="28"/>
          <w:lang w:val="el-GR"/>
          <w14:ligatures w14:val="none"/>
        </w:rPr>
        <w:t xml:space="preserve"> </w:t>
      </w:r>
    </w:p>
    <w:sectPr w:rsidR="00D636C1" w:rsidRPr="00135543" w:rsidSect="009F00AF">
      <w:headerReference w:type="default" r:id="rId6"/>
      <w:pgSz w:w="12240" w:h="15840"/>
      <w:pgMar w:top="1440" w:right="1183"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B14E" w14:textId="77777777" w:rsidR="009F00AF" w:rsidRDefault="009F00AF" w:rsidP="00DF0108">
      <w:pPr>
        <w:spacing w:after="0" w:line="240" w:lineRule="auto"/>
      </w:pPr>
      <w:r>
        <w:separator/>
      </w:r>
    </w:p>
  </w:endnote>
  <w:endnote w:type="continuationSeparator" w:id="0">
    <w:p w14:paraId="6B347B5E" w14:textId="77777777" w:rsidR="009F00AF" w:rsidRDefault="009F00AF" w:rsidP="00DF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56FA" w14:textId="77777777" w:rsidR="009F00AF" w:rsidRDefault="009F00AF" w:rsidP="00DF0108">
      <w:pPr>
        <w:spacing w:after="0" w:line="240" w:lineRule="auto"/>
      </w:pPr>
      <w:r>
        <w:separator/>
      </w:r>
    </w:p>
  </w:footnote>
  <w:footnote w:type="continuationSeparator" w:id="0">
    <w:p w14:paraId="70F443F1" w14:textId="77777777" w:rsidR="009F00AF" w:rsidRDefault="009F00AF" w:rsidP="00DF0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99811"/>
      <w:docPartObj>
        <w:docPartGallery w:val="Page Numbers (Top of Page)"/>
        <w:docPartUnique/>
      </w:docPartObj>
    </w:sdtPr>
    <w:sdtEndPr>
      <w:rPr>
        <w:noProof/>
      </w:rPr>
    </w:sdtEndPr>
    <w:sdtContent>
      <w:p w14:paraId="4F486FA6" w14:textId="1AE7A51E" w:rsidR="00DF0108" w:rsidRDefault="00DF010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645302" w14:textId="77777777" w:rsidR="00DF0108" w:rsidRDefault="00DF0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A7"/>
    <w:rsid w:val="00002F8D"/>
    <w:rsid w:val="0001079F"/>
    <w:rsid w:val="00026628"/>
    <w:rsid w:val="00035823"/>
    <w:rsid w:val="000570B8"/>
    <w:rsid w:val="00090598"/>
    <w:rsid w:val="00091A96"/>
    <w:rsid w:val="000A1A10"/>
    <w:rsid w:val="00103CB3"/>
    <w:rsid w:val="00105B52"/>
    <w:rsid w:val="00115AC7"/>
    <w:rsid w:val="00130135"/>
    <w:rsid w:val="00135543"/>
    <w:rsid w:val="00137F91"/>
    <w:rsid w:val="00147885"/>
    <w:rsid w:val="00155040"/>
    <w:rsid w:val="00155A79"/>
    <w:rsid w:val="001566D9"/>
    <w:rsid w:val="001603A2"/>
    <w:rsid w:val="001B0FAE"/>
    <w:rsid w:val="001C20E7"/>
    <w:rsid w:val="001C7CFC"/>
    <w:rsid w:val="001D156D"/>
    <w:rsid w:val="001E4BA7"/>
    <w:rsid w:val="0020702F"/>
    <w:rsid w:val="0021062B"/>
    <w:rsid w:val="00225D8E"/>
    <w:rsid w:val="002265DA"/>
    <w:rsid w:val="002278C7"/>
    <w:rsid w:val="00233762"/>
    <w:rsid w:val="00242324"/>
    <w:rsid w:val="00246E0C"/>
    <w:rsid w:val="00250D9E"/>
    <w:rsid w:val="00255DA6"/>
    <w:rsid w:val="00283576"/>
    <w:rsid w:val="00293AC3"/>
    <w:rsid w:val="002A0E01"/>
    <w:rsid w:val="002D078A"/>
    <w:rsid w:val="002F0065"/>
    <w:rsid w:val="002F0575"/>
    <w:rsid w:val="002F5456"/>
    <w:rsid w:val="0030567B"/>
    <w:rsid w:val="00345AC0"/>
    <w:rsid w:val="00374C4B"/>
    <w:rsid w:val="00397C10"/>
    <w:rsid w:val="003A5FAC"/>
    <w:rsid w:val="003B193C"/>
    <w:rsid w:val="003D385E"/>
    <w:rsid w:val="003E2224"/>
    <w:rsid w:val="00403905"/>
    <w:rsid w:val="00413922"/>
    <w:rsid w:val="004155A4"/>
    <w:rsid w:val="004214BB"/>
    <w:rsid w:val="004279E9"/>
    <w:rsid w:val="00434C2C"/>
    <w:rsid w:val="00436B56"/>
    <w:rsid w:val="004507A0"/>
    <w:rsid w:val="00466974"/>
    <w:rsid w:val="004728FB"/>
    <w:rsid w:val="004962BC"/>
    <w:rsid w:val="004A17A7"/>
    <w:rsid w:val="004B08EA"/>
    <w:rsid w:val="004B2330"/>
    <w:rsid w:val="004C3D07"/>
    <w:rsid w:val="004D7009"/>
    <w:rsid w:val="004F1C86"/>
    <w:rsid w:val="005101E8"/>
    <w:rsid w:val="00517B2C"/>
    <w:rsid w:val="0054673C"/>
    <w:rsid w:val="0055201D"/>
    <w:rsid w:val="005526B1"/>
    <w:rsid w:val="005662DC"/>
    <w:rsid w:val="00573B2F"/>
    <w:rsid w:val="00583104"/>
    <w:rsid w:val="0058497E"/>
    <w:rsid w:val="00597979"/>
    <w:rsid w:val="005B3EA5"/>
    <w:rsid w:val="005C6155"/>
    <w:rsid w:val="005D5D4D"/>
    <w:rsid w:val="005D6E67"/>
    <w:rsid w:val="005D7448"/>
    <w:rsid w:val="005F467A"/>
    <w:rsid w:val="005F758C"/>
    <w:rsid w:val="00601A3D"/>
    <w:rsid w:val="0063236B"/>
    <w:rsid w:val="00633A35"/>
    <w:rsid w:val="00642BB7"/>
    <w:rsid w:val="00656B82"/>
    <w:rsid w:val="006607D2"/>
    <w:rsid w:val="00683027"/>
    <w:rsid w:val="0068658D"/>
    <w:rsid w:val="00690DF2"/>
    <w:rsid w:val="00692471"/>
    <w:rsid w:val="00696308"/>
    <w:rsid w:val="006B3440"/>
    <w:rsid w:val="006C1D22"/>
    <w:rsid w:val="006D07DA"/>
    <w:rsid w:val="006D26FE"/>
    <w:rsid w:val="006D623D"/>
    <w:rsid w:val="006E0E31"/>
    <w:rsid w:val="006E5D6F"/>
    <w:rsid w:val="006E6CB5"/>
    <w:rsid w:val="006F3F1E"/>
    <w:rsid w:val="006F4CC3"/>
    <w:rsid w:val="006F6F07"/>
    <w:rsid w:val="00701637"/>
    <w:rsid w:val="00724255"/>
    <w:rsid w:val="00725504"/>
    <w:rsid w:val="00743AD3"/>
    <w:rsid w:val="00745AB6"/>
    <w:rsid w:val="007568B8"/>
    <w:rsid w:val="00781FC6"/>
    <w:rsid w:val="007827EA"/>
    <w:rsid w:val="007A32B3"/>
    <w:rsid w:val="007B6DFA"/>
    <w:rsid w:val="007C1537"/>
    <w:rsid w:val="007D1668"/>
    <w:rsid w:val="007D378F"/>
    <w:rsid w:val="00806C3F"/>
    <w:rsid w:val="00814134"/>
    <w:rsid w:val="0081791A"/>
    <w:rsid w:val="00843910"/>
    <w:rsid w:val="008454BB"/>
    <w:rsid w:val="00851414"/>
    <w:rsid w:val="00851610"/>
    <w:rsid w:val="00856C19"/>
    <w:rsid w:val="00860948"/>
    <w:rsid w:val="00880067"/>
    <w:rsid w:val="00885DEE"/>
    <w:rsid w:val="00893789"/>
    <w:rsid w:val="008B3FCC"/>
    <w:rsid w:val="008B7451"/>
    <w:rsid w:val="008C3F6D"/>
    <w:rsid w:val="008C6553"/>
    <w:rsid w:val="008E2B79"/>
    <w:rsid w:val="00907801"/>
    <w:rsid w:val="00910E80"/>
    <w:rsid w:val="009172A8"/>
    <w:rsid w:val="00994DDE"/>
    <w:rsid w:val="009C2BC1"/>
    <w:rsid w:val="009C70FA"/>
    <w:rsid w:val="009D5B45"/>
    <w:rsid w:val="009D7C55"/>
    <w:rsid w:val="009E37EA"/>
    <w:rsid w:val="009E7986"/>
    <w:rsid w:val="009F00AF"/>
    <w:rsid w:val="00A26661"/>
    <w:rsid w:val="00A42790"/>
    <w:rsid w:val="00A44C76"/>
    <w:rsid w:val="00A47DDD"/>
    <w:rsid w:val="00A50F3A"/>
    <w:rsid w:val="00A90E3D"/>
    <w:rsid w:val="00AC0DFC"/>
    <w:rsid w:val="00AD4FBB"/>
    <w:rsid w:val="00AD7661"/>
    <w:rsid w:val="00AE5869"/>
    <w:rsid w:val="00AE5965"/>
    <w:rsid w:val="00AE5F6D"/>
    <w:rsid w:val="00B0473E"/>
    <w:rsid w:val="00B04969"/>
    <w:rsid w:val="00B07A4F"/>
    <w:rsid w:val="00B11875"/>
    <w:rsid w:val="00B47761"/>
    <w:rsid w:val="00B61478"/>
    <w:rsid w:val="00B62D6E"/>
    <w:rsid w:val="00B81AEE"/>
    <w:rsid w:val="00BA3DE1"/>
    <w:rsid w:val="00BA6478"/>
    <w:rsid w:val="00BC141E"/>
    <w:rsid w:val="00BC54AA"/>
    <w:rsid w:val="00BE7676"/>
    <w:rsid w:val="00C13068"/>
    <w:rsid w:val="00C13660"/>
    <w:rsid w:val="00C24A14"/>
    <w:rsid w:val="00C305BD"/>
    <w:rsid w:val="00C50261"/>
    <w:rsid w:val="00C54F2A"/>
    <w:rsid w:val="00C5592C"/>
    <w:rsid w:val="00C55A94"/>
    <w:rsid w:val="00C660C8"/>
    <w:rsid w:val="00C66B67"/>
    <w:rsid w:val="00C76095"/>
    <w:rsid w:val="00C82B67"/>
    <w:rsid w:val="00C859F0"/>
    <w:rsid w:val="00C97CD2"/>
    <w:rsid w:val="00CA570B"/>
    <w:rsid w:val="00CC1FE4"/>
    <w:rsid w:val="00CC4058"/>
    <w:rsid w:val="00CE68D3"/>
    <w:rsid w:val="00CF3E6E"/>
    <w:rsid w:val="00CF6AE8"/>
    <w:rsid w:val="00D05081"/>
    <w:rsid w:val="00D40DCA"/>
    <w:rsid w:val="00D612C6"/>
    <w:rsid w:val="00D636C1"/>
    <w:rsid w:val="00D75668"/>
    <w:rsid w:val="00D91347"/>
    <w:rsid w:val="00D963AE"/>
    <w:rsid w:val="00DA2969"/>
    <w:rsid w:val="00DB0BD8"/>
    <w:rsid w:val="00DB3588"/>
    <w:rsid w:val="00DC1D6A"/>
    <w:rsid w:val="00DC4AF3"/>
    <w:rsid w:val="00DD6869"/>
    <w:rsid w:val="00DE3DD9"/>
    <w:rsid w:val="00DF0108"/>
    <w:rsid w:val="00DF78B3"/>
    <w:rsid w:val="00E071C7"/>
    <w:rsid w:val="00E13520"/>
    <w:rsid w:val="00E1592B"/>
    <w:rsid w:val="00E252C0"/>
    <w:rsid w:val="00E31944"/>
    <w:rsid w:val="00E3560D"/>
    <w:rsid w:val="00E40EDB"/>
    <w:rsid w:val="00E44E26"/>
    <w:rsid w:val="00E521EB"/>
    <w:rsid w:val="00EB667C"/>
    <w:rsid w:val="00EB7054"/>
    <w:rsid w:val="00EC223C"/>
    <w:rsid w:val="00EC49D5"/>
    <w:rsid w:val="00ED70EB"/>
    <w:rsid w:val="00EF1587"/>
    <w:rsid w:val="00F14B66"/>
    <w:rsid w:val="00F2079F"/>
    <w:rsid w:val="00F23B86"/>
    <w:rsid w:val="00F42C84"/>
    <w:rsid w:val="00F43433"/>
    <w:rsid w:val="00F522E4"/>
    <w:rsid w:val="00F556EC"/>
    <w:rsid w:val="00F72BFD"/>
    <w:rsid w:val="00FB5194"/>
    <w:rsid w:val="00FB73F5"/>
    <w:rsid w:val="00FC0AC7"/>
    <w:rsid w:val="00FC4BC3"/>
    <w:rsid w:val="00FD2C34"/>
    <w:rsid w:val="00FD3C6D"/>
    <w:rsid w:val="00FE5850"/>
    <w:rsid w:val="00FE766E"/>
    <w:rsid w:val="00FF03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BF88"/>
  <w15:chartTrackingRefBased/>
  <w15:docId w15:val="{EED8711A-8402-40A9-8FE1-0E7C9ED5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61"/>
  </w:style>
  <w:style w:type="paragraph" w:styleId="Heading1">
    <w:name w:val="heading 1"/>
    <w:basedOn w:val="Normal"/>
    <w:next w:val="Normal"/>
    <w:link w:val="Heading1Char"/>
    <w:uiPriority w:val="9"/>
    <w:qFormat/>
    <w:rsid w:val="00AD7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7661"/>
    <w:pPr>
      <w:ind w:left="720"/>
      <w:contextualSpacing/>
    </w:pPr>
  </w:style>
  <w:style w:type="paragraph" w:styleId="TOCHeading">
    <w:name w:val="TOC Heading"/>
    <w:basedOn w:val="Heading1"/>
    <w:next w:val="Normal"/>
    <w:uiPriority w:val="39"/>
    <w:unhideWhenUsed/>
    <w:qFormat/>
    <w:rsid w:val="00AD7661"/>
    <w:pPr>
      <w:outlineLvl w:val="9"/>
    </w:pPr>
    <w:rPr>
      <w:kern w:val="0"/>
      <w14:ligatures w14:val="none"/>
    </w:rPr>
  </w:style>
  <w:style w:type="paragraph" w:styleId="Header">
    <w:name w:val="header"/>
    <w:basedOn w:val="Normal"/>
    <w:link w:val="HeaderChar"/>
    <w:uiPriority w:val="99"/>
    <w:unhideWhenUsed/>
    <w:rsid w:val="00DF0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108"/>
  </w:style>
  <w:style w:type="paragraph" w:styleId="Footer">
    <w:name w:val="footer"/>
    <w:basedOn w:val="Normal"/>
    <w:link w:val="FooterChar"/>
    <w:uiPriority w:val="99"/>
    <w:unhideWhenUsed/>
    <w:rsid w:val="00DF0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108"/>
  </w:style>
  <w:style w:type="paragraph" w:customStyle="1" w:styleId="0">
    <w:name w:val="0"/>
    <w:basedOn w:val="Normal"/>
    <w:rsid w:val="005F46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3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12</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Vasiliou  Kyproula</cp:lastModifiedBy>
  <cp:revision>272</cp:revision>
  <cp:lastPrinted>2024-01-31T06:22:00Z</cp:lastPrinted>
  <dcterms:created xsi:type="dcterms:W3CDTF">2023-12-21T06:03:00Z</dcterms:created>
  <dcterms:modified xsi:type="dcterms:W3CDTF">2024-01-31T06:41:00Z</dcterms:modified>
</cp:coreProperties>
</file>